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cs="微软雅黑"/>
          <w:b/>
          <w:bCs/>
          <w:sz w:val="32"/>
          <w:szCs w:val="32"/>
        </w:rPr>
      </w:pPr>
      <w:bookmarkStart w:id="0" w:name="_GoBack"/>
      <w:r>
        <w:rPr>
          <w:rFonts w:hint="eastAsia" w:ascii="微软雅黑" w:hAnsi="微软雅黑" w:eastAsia="微软雅黑" w:cs="微软雅黑"/>
          <w:b/>
          <w:bCs/>
          <w:sz w:val="32"/>
          <w:szCs w:val="32"/>
        </w:rPr>
        <w:t>无锡职业技术学院图书馆</w:t>
      </w:r>
      <w:r>
        <w:rPr>
          <w:rFonts w:hint="eastAsia" w:ascii="微软雅黑" w:hAnsi="微软雅黑" w:eastAsia="微软雅黑" w:cs="微软雅黑"/>
          <w:b/>
          <w:bCs/>
          <w:sz w:val="32"/>
          <w:szCs w:val="32"/>
          <w:lang w:val="en-US" w:eastAsia="zh-CN"/>
        </w:rPr>
        <w:t>2020年图书馆过刊（2019年期刊）</w:t>
      </w:r>
      <w:r>
        <w:rPr>
          <w:rFonts w:hint="eastAsia" w:ascii="微软雅黑" w:hAnsi="微软雅黑" w:eastAsia="微软雅黑" w:cs="微软雅黑"/>
          <w:b/>
          <w:bCs/>
          <w:sz w:val="32"/>
          <w:szCs w:val="32"/>
        </w:rPr>
        <w:t>装订需求</w:t>
      </w:r>
    </w:p>
    <w:p>
      <w:pPr>
        <w:ind w:firstLine="562" w:firstLineChars="200"/>
        <w:rPr>
          <w:b/>
          <w:bCs/>
          <w:sz w:val="28"/>
          <w:szCs w:val="28"/>
        </w:rPr>
      </w:pPr>
      <w:r>
        <w:rPr>
          <w:rFonts w:hint="eastAsia"/>
          <w:b/>
          <w:bCs/>
          <w:sz w:val="28"/>
          <w:szCs w:val="28"/>
        </w:rPr>
        <w:t>无锡职业技术学院图书馆201</w:t>
      </w:r>
      <w:r>
        <w:rPr>
          <w:rFonts w:hint="eastAsia"/>
          <w:b/>
          <w:bCs/>
          <w:sz w:val="28"/>
          <w:szCs w:val="28"/>
          <w:lang w:val="en-US" w:eastAsia="zh-CN"/>
        </w:rPr>
        <w:t>9</w:t>
      </w:r>
      <w:r>
        <w:rPr>
          <w:rFonts w:hint="eastAsia"/>
          <w:b/>
          <w:bCs/>
          <w:sz w:val="28"/>
          <w:szCs w:val="28"/>
        </w:rPr>
        <w:t>年期刊现需进行合订本装订，装订约</w:t>
      </w:r>
      <w:r>
        <w:rPr>
          <w:rFonts w:hint="eastAsia"/>
          <w:b/>
          <w:bCs/>
          <w:sz w:val="28"/>
          <w:szCs w:val="28"/>
          <w:lang w:val="en-US" w:eastAsia="zh-CN"/>
        </w:rPr>
        <w:t xml:space="preserve"> </w:t>
      </w:r>
      <w:r>
        <w:rPr>
          <w:rFonts w:hint="eastAsia"/>
          <w:b/>
          <w:bCs/>
          <w:sz w:val="28"/>
          <w:szCs w:val="28"/>
        </w:rPr>
        <w:t>册。需求如下：</w:t>
      </w:r>
    </w:p>
    <w:p>
      <w:pPr>
        <w:ind w:right="25" w:rightChars="12"/>
        <w:jc w:val="center"/>
        <w:rPr>
          <w:rFonts w:ascii="微软雅黑" w:hAnsi="微软雅黑" w:eastAsia="微软雅黑"/>
          <w:b/>
          <w:sz w:val="28"/>
          <w:szCs w:val="28"/>
        </w:rPr>
      </w:pPr>
      <w:r>
        <w:rPr>
          <w:rFonts w:hint="eastAsia" w:ascii="微软雅黑" w:hAnsi="微软雅黑" w:eastAsia="微软雅黑"/>
          <w:b/>
          <w:sz w:val="28"/>
          <w:szCs w:val="28"/>
        </w:rPr>
        <w:t>一、期刊合订本装订要求</w:t>
      </w:r>
    </w:p>
    <w:p>
      <w:pPr>
        <w:ind w:right="25" w:rightChars="12"/>
        <w:rPr>
          <w:rFonts w:ascii="微软雅黑" w:hAnsi="微软雅黑" w:eastAsia="微软雅黑"/>
          <w:sz w:val="28"/>
          <w:szCs w:val="28"/>
        </w:rPr>
      </w:pPr>
      <w:r>
        <w:rPr>
          <w:rFonts w:hint="eastAsia" w:ascii="宋体" w:hAnsi="宋体"/>
          <w:sz w:val="28"/>
          <w:szCs w:val="28"/>
        </w:rPr>
        <w:t xml:space="preserve">    </w:t>
      </w:r>
      <w:r>
        <w:rPr>
          <w:rFonts w:hint="eastAsia" w:ascii="微软雅黑" w:hAnsi="微软雅黑" w:eastAsia="微软雅黑"/>
          <w:sz w:val="28"/>
          <w:szCs w:val="28"/>
        </w:rPr>
        <w:t>1、合订本实行精装圆背装订，要求不缺页、不乱页、不掉页、切面整齐、封面纸牢固、封面字迹清晰。合订本封面采用优质环保PVC材料。采用有效防腐措施，增加防腐剂用量，确保今后合订本不发霉，无异味。</w:t>
      </w:r>
    </w:p>
    <w:p>
      <w:pPr>
        <w:ind w:right="25" w:rightChars="12"/>
        <w:rPr>
          <w:rFonts w:ascii="微软雅黑" w:hAnsi="微软雅黑" w:eastAsia="微软雅黑"/>
          <w:sz w:val="28"/>
          <w:szCs w:val="28"/>
        </w:rPr>
      </w:pPr>
      <w:r>
        <w:rPr>
          <w:rFonts w:hint="eastAsia" w:ascii="微软雅黑" w:hAnsi="微软雅黑" w:eastAsia="微软雅黑"/>
          <w:sz w:val="28"/>
          <w:szCs w:val="28"/>
        </w:rPr>
        <w:t xml:space="preserve">    2、合订本外壳颜色（中文</w:t>
      </w:r>
      <w:r>
        <w:rPr>
          <w:rFonts w:hint="eastAsia" w:ascii="微软雅黑" w:hAnsi="微软雅黑" w:eastAsia="微软雅黑"/>
          <w:color w:val="2A2A2A"/>
          <w:sz w:val="28"/>
          <w:szCs w:val="28"/>
        </w:rPr>
        <w:t>红色，外文黑色</w:t>
      </w:r>
      <w:r>
        <w:rPr>
          <w:rFonts w:hint="eastAsia" w:ascii="微软雅黑" w:hAnsi="微软雅黑" w:eastAsia="微软雅黑"/>
          <w:sz w:val="28"/>
          <w:szCs w:val="28"/>
        </w:rPr>
        <w:t>）一致，所装订后的各本期刊的刊名、卷期、</w:t>
      </w:r>
      <w:r>
        <w:rPr>
          <w:rFonts w:ascii="微软雅黑" w:hAnsi="微软雅黑" w:eastAsia="微软雅黑"/>
          <w:color w:val="2A2A2A"/>
          <w:sz w:val="28"/>
          <w:szCs w:val="28"/>
        </w:rPr>
        <w:t>年份</w:t>
      </w:r>
      <w:r>
        <w:rPr>
          <w:rFonts w:hint="eastAsia" w:ascii="微软雅黑" w:hAnsi="微软雅黑" w:eastAsia="微软雅黑"/>
          <w:sz w:val="28"/>
          <w:szCs w:val="28"/>
        </w:rPr>
        <w:t>、页面、页码清晰完整，期数根据我馆提供的随书单要求按顺序依次排列，不能倒期或错期，</w:t>
      </w:r>
      <w:r>
        <w:rPr>
          <w:rFonts w:hint="eastAsia" w:ascii="微软雅黑" w:hAnsi="微软雅黑" w:eastAsia="微软雅黑"/>
          <w:color w:val="2A2A2A"/>
          <w:sz w:val="28"/>
          <w:szCs w:val="28"/>
        </w:rPr>
        <w:t>严格按照我馆装订册数进行装订。</w:t>
      </w:r>
    </w:p>
    <w:p>
      <w:pPr>
        <w:ind w:right="25" w:rightChars="12" w:firstLine="570"/>
        <w:rPr>
          <w:rFonts w:ascii="微软雅黑" w:hAnsi="微软雅黑" w:eastAsia="微软雅黑"/>
          <w:color w:val="2A2A2A"/>
          <w:sz w:val="28"/>
          <w:szCs w:val="28"/>
        </w:rPr>
      </w:pPr>
      <w:r>
        <w:rPr>
          <w:rFonts w:hint="eastAsia" w:ascii="微软雅黑" w:hAnsi="微软雅黑" w:eastAsia="微软雅黑"/>
          <w:sz w:val="28"/>
          <w:szCs w:val="28"/>
        </w:rPr>
        <w:t>3、刊名、卷期、年号的烫写位置要求规范统一，烫写文字的颜色（</w:t>
      </w:r>
      <w:r>
        <w:rPr>
          <w:rFonts w:hint="eastAsia" w:ascii="微软雅黑" w:hAnsi="微软雅黑" w:eastAsia="微软雅黑"/>
          <w:color w:val="2A2A2A"/>
          <w:sz w:val="28"/>
          <w:szCs w:val="28"/>
        </w:rPr>
        <w:t>金</w:t>
      </w:r>
      <w:r>
        <w:rPr>
          <w:rFonts w:ascii="微软雅黑" w:hAnsi="微软雅黑" w:eastAsia="微软雅黑"/>
          <w:color w:val="2A2A2A"/>
          <w:sz w:val="28"/>
          <w:szCs w:val="28"/>
        </w:rPr>
        <w:t>色</w:t>
      </w:r>
      <w:r>
        <w:rPr>
          <w:rFonts w:hint="eastAsia" w:ascii="微软雅黑" w:hAnsi="微软雅黑" w:eastAsia="微软雅黑"/>
          <w:sz w:val="28"/>
          <w:szCs w:val="28"/>
        </w:rPr>
        <w:t>）要统一，烫写的文字字体（</w:t>
      </w:r>
      <w:r>
        <w:rPr>
          <w:rFonts w:ascii="微软雅黑" w:hAnsi="微软雅黑" w:eastAsia="微软雅黑"/>
          <w:color w:val="2A2A2A"/>
          <w:sz w:val="28"/>
          <w:szCs w:val="28"/>
        </w:rPr>
        <w:t>楷书</w:t>
      </w:r>
      <w:r>
        <w:rPr>
          <w:rFonts w:hint="eastAsia" w:ascii="微软雅黑" w:hAnsi="微软雅黑" w:eastAsia="微软雅黑"/>
          <w:sz w:val="28"/>
          <w:szCs w:val="28"/>
        </w:rPr>
        <w:t>）要统一清晰</w:t>
      </w:r>
      <w:r>
        <w:rPr>
          <w:rFonts w:ascii="微软雅黑" w:hAnsi="微软雅黑" w:eastAsia="微软雅黑"/>
          <w:color w:val="2A2A2A"/>
          <w:sz w:val="28"/>
          <w:szCs w:val="28"/>
        </w:rPr>
        <w:t>。烫金位置在合订本期刊脊背之上，各项内容的位置</w:t>
      </w:r>
      <w:r>
        <w:rPr>
          <w:rFonts w:hint="eastAsia" w:ascii="微软雅黑" w:hAnsi="微软雅黑" w:eastAsia="微软雅黑"/>
          <w:color w:val="2A2A2A"/>
          <w:sz w:val="28"/>
          <w:szCs w:val="28"/>
        </w:rPr>
        <w:t>保</w:t>
      </w:r>
      <w:r>
        <w:rPr>
          <w:rFonts w:ascii="微软雅黑" w:hAnsi="微软雅黑" w:eastAsia="微软雅黑"/>
          <w:color w:val="2A2A2A"/>
          <w:sz w:val="28"/>
          <w:szCs w:val="28"/>
        </w:rPr>
        <w:t>持一致</w:t>
      </w:r>
      <w:r>
        <w:rPr>
          <w:rFonts w:hint="eastAsia" w:ascii="微软雅黑" w:hAnsi="微软雅黑" w:eastAsia="微软雅黑"/>
          <w:sz w:val="28"/>
          <w:szCs w:val="28"/>
        </w:rPr>
        <w:t>,</w:t>
      </w:r>
      <w:r>
        <w:rPr>
          <w:rFonts w:ascii="微软雅黑" w:hAnsi="微软雅黑" w:eastAsia="微软雅黑"/>
          <w:color w:val="2A2A2A"/>
          <w:sz w:val="28"/>
          <w:szCs w:val="28"/>
        </w:rPr>
        <w:t xml:space="preserve"> 顺序为：刊名、年份、卷期、</w:t>
      </w:r>
      <w:r>
        <w:rPr>
          <w:rFonts w:hint="eastAsia" w:ascii="微软雅黑" w:hAnsi="微软雅黑" w:eastAsia="微软雅黑"/>
          <w:color w:val="2A2A2A"/>
          <w:sz w:val="28"/>
          <w:szCs w:val="28"/>
        </w:rPr>
        <w:t>分类号、无锡职</w:t>
      </w:r>
      <w:r>
        <w:rPr>
          <w:rFonts w:ascii="微软雅黑" w:hAnsi="微软雅黑" w:eastAsia="微软雅黑"/>
          <w:color w:val="2A2A2A"/>
          <w:sz w:val="28"/>
          <w:szCs w:val="28"/>
        </w:rPr>
        <w:t>院图书馆</w:t>
      </w:r>
      <w:r>
        <w:rPr>
          <w:rFonts w:hint="eastAsia" w:ascii="微软雅黑" w:hAnsi="微软雅黑" w:eastAsia="微软雅黑"/>
          <w:color w:val="2A2A2A"/>
          <w:sz w:val="28"/>
          <w:szCs w:val="28"/>
        </w:rPr>
        <w:t>（见附图１）</w:t>
      </w:r>
      <w:r>
        <w:rPr>
          <w:rFonts w:ascii="微软雅黑" w:hAnsi="微软雅黑" w:eastAsia="微软雅黑"/>
          <w:color w:val="2A2A2A"/>
          <w:sz w:val="28"/>
          <w:szCs w:val="28"/>
        </w:rPr>
        <w:t>。原则上根据开本的大小以及美观合理为宜。</w:t>
      </w:r>
      <w:r>
        <w:rPr>
          <w:rFonts w:hint="eastAsia" w:ascii="微软雅黑" w:hAnsi="微软雅黑" w:eastAsia="微软雅黑"/>
          <w:color w:val="2A2A2A"/>
          <w:sz w:val="28"/>
          <w:szCs w:val="28"/>
        </w:rPr>
        <w:t>“无锡职院图书馆”高度保持一致，使合订本上架后整齐美观。</w:t>
      </w:r>
    </w:p>
    <w:p>
      <w:pPr>
        <w:ind w:right="25" w:rightChars="12" w:firstLine="570"/>
        <w:rPr>
          <w:rFonts w:ascii="微软雅黑" w:hAnsi="微软雅黑" w:eastAsia="微软雅黑"/>
          <w:sz w:val="28"/>
          <w:szCs w:val="28"/>
        </w:rPr>
      </w:pPr>
      <w:r>
        <w:rPr>
          <w:rFonts w:hint="eastAsia" w:ascii="微软雅黑" w:hAnsi="微软雅黑" w:eastAsia="微软雅黑"/>
          <w:sz w:val="28"/>
          <w:szCs w:val="28"/>
        </w:rPr>
        <w:t>4、合订本穿线位置恰当，不要漏装散架或吃口太深，中缝能够翻平，装订不能压字或压图。</w:t>
      </w:r>
    </w:p>
    <w:p>
      <w:pPr>
        <w:ind w:right="25" w:rightChars="12" w:firstLine="560" w:firstLineChars="200"/>
        <w:rPr>
          <w:rFonts w:ascii="微软雅黑" w:hAnsi="微软雅黑" w:eastAsia="微软雅黑"/>
          <w:color w:val="2A2A2A"/>
          <w:sz w:val="28"/>
          <w:szCs w:val="28"/>
        </w:rPr>
      </w:pPr>
      <w:r>
        <w:rPr>
          <w:rFonts w:hint="eastAsia" w:ascii="微软雅黑" w:hAnsi="微软雅黑" w:eastAsia="微软雅黑"/>
          <w:color w:val="2A2A2A"/>
          <w:sz w:val="28"/>
          <w:szCs w:val="28"/>
        </w:rPr>
        <w:t>5、装订刊回馆，须按照图书馆提供的装订清单打包，打包顺序与提供的装订清单上的顺序保持一致，每8册为一捆。</w:t>
      </w:r>
    </w:p>
    <w:p>
      <w:pPr>
        <w:ind w:right="25" w:rightChars="12" w:firstLine="560" w:firstLineChars="200"/>
        <w:rPr>
          <w:rFonts w:ascii="微软雅黑" w:hAnsi="微软雅黑" w:eastAsia="微软雅黑"/>
          <w:sz w:val="28"/>
          <w:szCs w:val="28"/>
        </w:rPr>
      </w:pPr>
      <w:r>
        <w:rPr>
          <w:rFonts w:hint="eastAsia" w:ascii="微软雅黑" w:hAnsi="微软雅黑" w:eastAsia="微软雅黑"/>
          <w:color w:val="2A2A2A"/>
          <w:sz w:val="28"/>
          <w:szCs w:val="28"/>
        </w:rPr>
        <w:t>6、保持刊面整洁，不要在刊皮上用粉笔等做记号。</w:t>
      </w:r>
    </w:p>
    <w:p>
      <w:pPr>
        <w:ind w:right="25" w:rightChars="12" w:firstLine="560" w:firstLineChars="200"/>
        <w:rPr>
          <w:rFonts w:ascii="微软雅黑" w:hAnsi="微软雅黑" w:eastAsia="微软雅黑"/>
          <w:sz w:val="28"/>
          <w:szCs w:val="28"/>
        </w:rPr>
      </w:pPr>
      <w:r>
        <w:rPr>
          <w:rFonts w:hint="eastAsia" w:ascii="微软雅黑" w:hAnsi="微软雅黑" w:eastAsia="微软雅黑"/>
          <w:sz w:val="28"/>
          <w:szCs w:val="28"/>
        </w:rPr>
        <w:t>7、</w:t>
      </w:r>
      <w:r>
        <w:rPr>
          <w:rFonts w:ascii="微软雅黑" w:hAnsi="微软雅黑" w:eastAsia="微软雅黑"/>
          <w:sz w:val="28"/>
          <w:szCs w:val="28"/>
        </w:rPr>
        <w:t>合订本验收完毕后，</w:t>
      </w:r>
      <w:r>
        <w:rPr>
          <w:rFonts w:hint="eastAsia" w:ascii="微软雅黑" w:hAnsi="微软雅黑" w:eastAsia="微软雅黑"/>
          <w:sz w:val="28"/>
          <w:szCs w:val="28"/>
        </w:rPr>
        <w:t>按照</w:t>
      </w:r>
      <w:r>
        <w:rPr>
          <w:rFonts w:ascii="微软雅黑" w:hAnsi="微软雅黑" w:eastAsia="微软雅黑"/>
          <w:sz w:val="28"/>
          <w:szCs w:val="28"/>
        </w:rPr>
        <w:t>图书馆要求免费提供</w:t>
      </w:r>
      <w:r>
        <w:rPr>
          <w:rFonts w:hint="eastAsia" w:ascii="微软雅黑" w:hAnsi="微软雅黑" w:eastAsia="微软雅黑"/>
          <w:sz w:val="28"/>
          <w:szCs w:val="28"/>
        </w:rPr>
        <w:t>排书</w:t>
      </w:r>
      <w:r>
        <w:rPr>
          <w:rFonts w:ascii="微软雅黑" w:hAnsi="微软雅黑" w:eastAsia="微软雅黑"/>
          <w:sz w:val="28"/>
          <w:szCs w:val="28"/>
        </w:rPr>
        <w:t>上架服务。</w:t>
      </w:r>
    </w:p>
    <w:p>
      <w:pPr>
        <w:ind w:right="25" w:rightChars="12" w:firstLine="420" w:firstLineChars="200"/>
        <w:rPr>
          <w:rFonts w:ascii="微软雅黑" w:hAnsi="微软雅黑" w:eastAsia="微软雅黑"/>
          <w:sz w:val="28"/>
          <w:szCs w:val="28"/>
        </w:rPr>
      </w:pPr>
      <w:r>
        <w:drawing>
          <wp:anchor distT="0" distB="0" distL="114300" distR="114300" simplePos="0" relativeHeight="251661312" behindDoc="0" locked="0" layoutInCell="1" allowOverlap="1">
            <wp:simplePos x="0" y="0"/>
            <wp:positionH relativeFrom="column">
              <wp:posOffset>914400</wp:posOffset>
            </wp:positionH>
            <wp:positionV relativeFrom="paragraph">
              <wp:posOffset>99060</wp:posOffset>
            </wp:positionV>
            <wp:extent cx="1076325" cy="8867775"/>
            <wp:effectExtent l="0" t="0" r="9525" b="9525"/>
            <wp:wrapNone/>
            <wp:docPr id="2" name="图片 2" descr="装订示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装订示例"/>
                    <pic:cNvPicPr>
                      <a:picLocks noChangeAspect="1"/>
                    </pic:cNvPicPr>
                  </pic:nvPicPr>
                  <pic:blipFill>
                    <a:blip r:embed="rId4"/>
                    <a:stretch>
                      <a:fillRect/>
                    </a:stretch>
                  </pic:blipFill>
                  <pic:spPr>
                    <a:xfrm>
                      <a:off x="0" y="0"/>
                      <a:ext cx="1076325" cy="8867775"/>
                    </a:xfrm>
                    <a:prstGeom prst="rect">
                      <a:avLst/>
                    </a:prstGeom>
                    <a:noFill/>
                    <a:ln w="9525">
                      <a:noFill/>
                    </a:ln>
                  </pic:spPr>
                </pic:pic>
              </a:graphicData>
            </a:graphic>
          </wp:anchor>
        </w:drawing>
      </w:r>
      <w:r>
        <w:rPr>
          <w:rFonts w:hint="eastAsia" w:ascii="微软雅黑" w:hAnsi="微软雅黑" w:eastAsia="微软雅黑"/>
          <w:sz w:val="28"/>
          <w:szCs w:val="28"/>
        </w:rPr>
        <w:t xml:space="preserve">附图１：                    </w:t>
      </w:r>
    </w:p>
    <w:p>
      <w:pPr>
        <w:ind w:right="25" w:rightChars="12" w:firstLine="220" w:firstLineChars="200"/>
        <w:rPr>
          <w:rFonts w:ascii="微软雅黑" w:hAnsi="微软雅黑" w:eastAsia="微软雅黑"/>
          <w:sz w:val="11"/>
          <w:szCs w:val="11"/>
        </w:rPr>
      </w:pPr>
    </w:p>
    <w:p>
      <w:pPr>
        <w:ind w:right="25" w:rightChars="12" w:firstLine="560" w:firstLineChars="200"/>
        <w:rPr>
          <w:rFonts w:ascii="微软雅黑" w:hAnsi="微软雅黑" w:eastAsia="微软雅黑"/>
          <w:sz w:val="28"/>
          <w:szCs w:val="28"/>
        </w:rPr>
      </w:pPr>
    </w:p>
    <w:p>
      <w:pPr>
        <w:ind w:right="25" w:rightChars="12" w:firstLine="560" w:firstLineChars="200"/>
        <w:rPr>
          <w:rFonts w:ascii="微软雅黑" w:hAnsi="微软雅黑" w:eastAsia="微软雅黑"/>
          <w:sz w:val="28"/>
          <w:szCs w:val="28"/>
        </w:rPr>
      </w:pPr>
      <w:r>
        <w:rPr>
          <w:rFonts w:hint="eastAsia" w:ascii="微软雅黑" w:hAnsi="微软雅黑" w:eastAsia="微软雅黑"/>
          <w:sz w:val="28"/>
          <w:szCs w:val="28"/>
        </w:rPr>
        <mc:AlternateContent>
          <mc:Choice Requires="wps">
            <w:drawing>
              <wp:anchor distT="0" distB="0" distL="114300" distR="114300" simplePos="0" relativeHeight="251660288" behindDoc="0" locked="0" layoutInCell="1" allowOverlap="1">
                <wp:simplePos x="0" y="0"/>
                <wp:positionH relativeFrom="column">
                  <wp:posOffset>2247900</wp:posOffset>
                </wp:positionH>
                <wp:positionV relativeFrom="paragraph">
                  <wp:posOffset>302895</wp:posOffset>
                </wp:positionV>
                <wp:extent cx="3543300" cy="2971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3543300" cy="2971800"/>
                        </a:xfrm>
                        <a:prstGeom prst="rect">
                          <a:avLst/>
                        </a:prstGeom>
                        <a:solidFill>
                          <a:srgbClr val="FFFFFF"/>
                        </a:solidFill>
                        <a:ln w="9525">
                          <a:noFill/>
                        </a:ln>
                      </wps:spPr>
                      <wps:txbx>
                        <w:txbxContent>
                          <w:p>
                            <w:pPr>
                              <w:ind w:firstLine="560" w:firstLineChars="200"/>
                              <w:rPr>
                                <w:rFonts w:ascii="微软雅黑" w:hAnsi="微软雅黑" w:eastAsia="微软雅黑"/>
                                <w:sz w:val="28"/>
                                <w:szCs w:val="28"/>
                              </w:rPr>
                            </w:pPr>
                            <w:r>
                              <w:rPr>
                                <w:rFonts w:hint="eastAsia" w:ascii="微软雅黑" w:hAnsi="微软雅黑" w:eastAsia="微软雅黑"/>
                                <w:sz w:val="28"/>
                                <w:szCs w:val="28"/>
                              </w:rPr>
                              <w:t>刊名字体为楷体小二加粗。年卷期和分类号字体为楷体小三加粗，年卷期中没标明卷的只写年份期数，如：2006 １—12；标明卷的年卷期要齐全，如：第10卷 2006 1—12。＂无锡职院图书馆＂字体为楷体小三加粗。</w:t>
                            </w:r>
                          </w:p>
                        </w:txbxContent>
                      </wps:txbx>
                      <wps:bodyPr upright="1"/>
                    </wps:wsp>
                  </a:graphicData>
                </a:graphic>
              </wp:anchor>
            </w:drawing>
          </mc:Choice>
          <mc:Fallback>
            <w:pict>
              <v:shape id="文本框 5" o:spid="_x0000_s1026" o:spt="202" type="#_x0000_t202" style="position:absolute;left:0pt;margin-left:177pt;margin-top:23.85pt;height:234pt;width:279pt;z-index:251660288;mso-width-relative:page;mso-height-relative:page;" fillcolor="#FFFFFF" filled="t" stroked="f" coordsize="21600,21600" o:gfxdata="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S33kUdgA&#10;AAAKAQAADwAAAAAAAAABACAAAAAiAAAAZHJzL2Rvd25yZXYueG1sUEsBAhQAFAAAAAgAh07iQMVQ&#10;V1ytAQAAMwMAAA4AAAAAAAAAAQAgAAAAJwEAAGRycy9lMm9Eb2MueG1sUEsFBgAAAAAGAAYAWQEA&#10;AEYFAAAAAA==&#10;">
                <v:fill on="t" focussize="0,0"/>
                <v:stroke on="f"/>
                <v:imagedata o:title=""/>
                <o:lock v:ext="edit" aspectratio="f"/>
                <v:textbox>
                  <w:txbxContent>
                    <w:p>
                      <w:pPr>
                        <w:ind w:firstLine="560" w:firstLineChars="200"/>
                        <w:rPr>
                          <w:rFonts w:ascii="微软雅黑" w:hAnsi="微软雅黑" w:eastAsia="微软雅黑"/>
                          <w:sz w:val="28"/>
                          <w:szCs w:val="28"/>
                        </w:rPr>
                      </w:pPr>
                      <w:r>
                        <w:rPr>
                          <w:rFonts w:hint="eastAsia" w:ascii="微软雅黑" w:hAnsi="微软雅黑" w:eastAsia="微软雅黑"/>
                          <w:sz w:val="28"/>
                          <w:szCs w:val="28"/>
                        </w:rPr>
                        <w:t>刊名字体为楷体小二加粗。年卷期和分类号字体为楷体小三加粗，年卷期中没标明卷的只写年份期数，如：2006 １—12；标明卷的年卷期要齐全，如：第10卷 2006 1—12。＂无锡职院图书馆＂字体为楷体小三加粗。</w:t>
                      </w:r>
                    </w:p>
                  </w:txbxContent>
                </v:textbox>
              </v:shape>
            </w:pict>
          </mc:Fallback>
        </mc:AlternateContent>
      </w:r>
    </w:p>
    <w:p>
      <w:pPr>
        <w:ind w:right="25" w:rightChars="12" w:firstLine="560" w:firstLineChars="200"/>
        <w:rPr>
          <w:rFonts w:ascii="微软雅黑" w:hAnsi="微软雅黑" w:eastAsia="微软雅黑"/>
          <w:sz w:val="28"/>
          <w:szCs w:val="28"/>
        </w:rPr>
      </w:pPr>
    </w:p>
    <w:p>
      <w:pPr>
        <w:ind w:right="25" w:rightChars="12" w:firstLine="560" w:firstLineChars="200"/>
        <w:rPr>
          <w:rFonts w:ascii="微软雅黑" w:hAnsi="微软雅黑" w:eastAsia="微软雅黑"/>
          <w:sz w:val="28"/>
          <w:szCs w:val="28"/>
        </w:rPr>
      </w:pPr>
    </w:p>
    <w:p>
      <w:pPr>
        <w:ind w:right="25" w:rightChars="12" w:firstLine="560" w:firstLineChars="200"/>
        <w:rPr>
          <w:rFonts w:ascii="微软雅黑" w:hAnsi="微软雅黑" w:eastAsia="微软雅黑"/>
          <w:sz w:val="28"/>
          <w:szCs w:val="28"/>
        </w:rPr>
      </w:pPr>
    </w:p>
    <w:p>
      <w:pPr>
        <w:ind w:right="25" w:rightChars="12" w:firstLine="560" w:firstLineChars="200"/>
        <w:rPr>
          <w:rFonts w:ascii="微软雅黑" w:hAnsi="微软雅黑" w:eastAsia="微软雅黑"/>
          <w:sz w:val="28"/>
          <w:szCs w:val="28"/>
        </w:rPr>
      </w:pPr>
    </w:p>
    <w:p>
      <w:pPr>
        <w:ind w:right="25" w:rightChars="12" w:firstLine="560" w:firstLineChars="200"/>
        <w:rPr>
          <w:rFonts w:ascii="微软雅黑" w:hAnsi="微软雅黑" w:eastAsia="微软雅黑"/>
          <w:sz w:val="28"/>
          <w:szCs w:val="28"/>
        </w:rPr>
      </w:pPr>
    </w:p>
    <w:p>
      <w:pPr>
        <w:ind w:right="25" w:rightChars="12" w:firstLine="560" w:firstLineChars="200"/>
        <w:rPr>
          <w:rFonts w:ascii="微软雅黑" w:hAnsi="微软雅黑" w:eastAsia="微软雅黑"/>
          <w:sz w:val="28"/>
          <w:szCs w:val="28"/>
        </w:rPr>
      </w:pPr>
    </w:p>
    <w:p>
      <w:pPr>
        <w:ind w:right="25" w:rightChars="12" w:firstLine="560" w:firstLineChars="200"/>
        <w:rPr>
          <w:rFonts w:ascii="微软雅黑" w:hAnsi="微软雅黑" w:eastAsia="微软雅黑"/>
          <w:sz w:val="28"/>
          <w:szCs w:val="28"/>
        </w:rPr>
      </w:pPr>
    </w:p>
    <w:p>
      <w:pPr>
        <w:ind w:right="25" w:rightChars="12" w:firstLine="560" w:firstLineChars="200"/>
        <w:rPr>
          <w:rFonts w:ascii="微软雅黑" w:hAnsi="微软雅黑" w:eastAsia="微软雅黑"/>
          <w:sz w:val="28"/>
          <w:szCs w:val="28"/>
        </w:rPr>
      </w:pPr>
    </w:p>
    <w:p>
      <w:pPr>
        <w:ind w:right="25" w:rightChars="12" w:firstLine="560" w:firstLineChars="200"/>
        <w:rPr>
          <w:rFonts w:ascii="微软雅黑" w:hAnsi="微软雅黑" w:eastAsia="微软雅黑"/>
          <w:sz w:val="28"/>
          <w:szCs w:val="28"/>
        </w:rPr>
      </w:pPr>
      <w:r>
        <w:rPr>
          <w:rFonts w:hint="eastAsia" w:ascii="微软雅黑" w:hAnsi="微软雅黑" w:eastAsia="微软雅黑"/>
          <w:sz w:val="28"/>
          <w:szCs w:val="28"/>
        </w:rPr>
        <mc:AlternateContent>
          <mc:Choice Requires="wps">
            <w:drawing>
              <wp:anchor distT="0" distB="0" distL="114300" distR="114300" simplePos="0" relativeHeight="251658240" behindDoc="0" locked="0" layoutInCell="1" allowOverlap="1">
                <wp:simplePos x="0" y="0"/>
                <wp:positionH relativeFrom="column">
                  <wp:posOffset>2857500</wp:posOffset>
                </wp:positionH>
                <wp:positionV relativeFrom="paragraph">
                  <wp:posOffset>297180</wp:posOffset>
                </wp:positionV>
                <wp:extent cx="571500" cy="495300"/>
                <wp:effectExtent l="4445" t="4445" r="14605" b="14605"/>
                <wp:wrapNone/>
                <wp:docPr id="3" name="文本框 3"/>
                <wp:cNvGraphicFramePr/>
                <a:graphic xmlns:a="http://schemas.openxmlformats.org/drawingml/2006/main">
                  <a:graphicData uri="http://schemas.microsoft.com/office/word/2010/wordprocessingShape">
                    <wps:wsp>
                      <wps:cNvSpPr txBox="1"/>
                      <wps:spPr>
                        <a:xfrm>
                          <a:off x="0" y="0"/>
                          <a:ext cx="571500" cy="49530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szCs w:val="28"/>
                              </w:rPr>
                            </w:pPr>
                          </w:p>
                        </w:txbxContent>
                      </wps:txbx>
                      <wps:bodyPr vert="eaVert" upright="1"/>
                    </wps:wsp>
                  </a:graphicData>
                </a:graphic>
              </wp:anchor>
            </w:drawing>
          </mc:Choice>
          <mc:Fallback>
            <w:pict>
              <v:shape id="_x0000_s1026" o:spid="_x0000_s1026" o:spt="202" type="#_x0000_t202" style="position:absolute;left:0pt;margin-left:225pt;margin-top:23.4pt;height:39pt;width:45pt;z-index:251658240;mso-width-relative:page;mso-height-relative:page;" fillcolor="#FFFFFF" filled="t" stroked="t" coordsize="21600,21600" o:gfxdata="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JhTjLVAAAACgEAAA8AAAAAAAAAAQAgAAAAIgAAAGRycy9kb3ducmV2LnhtbFBLAQIUABQA&#10;AAAIAIdO4kD2sclX8wEAAPUDAAAOAAAAAAAAAAEAIAAAACQBAABkcnMvZTJvRG9jLnhtbFBLBQYA&#10;AAAABgAGAFkBAACJBQAAAAA=&#10;">
                <v:fill on="t" focussize="0,0"/>
                <v:stroke color="#FFFFFF" joinstyle="miter"/>
                <v:imagedata o:title=""/>
                <o:lock v:ext="edit" aspectratio="f"/>
                <v:textbox style="layout-flow:vertical-ideographic;">
                  <w:txbxContent>
                    <w:p>
                      <w:pPr>
                        <w:rPr>
                          <w:szCs w:val="28"/>
                        </w:rPr>
                      </w:pPr>
                    </w:p>
                  </w:txbxContent>
                </v:textbox>
              </v:shape>
            </w:pict>
          </mc:Fallback>
        </mc:AlternateContent>
      </w:r>
    </w:p>
    <w:p>
      <w:pPr>
        <w:ind w:right="25" w:rightChars="12" w:firstLine="560" w:firstLineChars="200"/>
        <w:rPr>
          <w:rFonts w:ascii="微软雅黑" w:hAnsi="微软雅黑" w:eastAsia="微软雅黑"/>
          <w:sz w:val="28"/>
          <w:szCs w:val="28"/>
        </w:rPr>
      </w:pPr>
    </w:p>
    <w:p>
      <w:pPr>
        <w:ind w:right="25" w:rightChars="12" w:firstLine="560" w:firstLineChars="200"/>
        <w:rPr>
          <w:rFonts w:ascii="微软雅黑" w:hAnsi="微软雅黑" w:eastAsia="微软雅黑"/>
          <w:sz w:val="28"/>
          <w:szCs w:val="28"/>
        </w:rPr>
      </w:pPr>
    </w:p>
    <w:p>
      <w:pPr>
        <w:ind w:right="25" w:rightChars="12" w:firstLine="560" w:firstLineChars="200"/>
        <w:rPr>
          <w:rFonts w:ascii="微软雅黑" w:hAnsi="微软雅黑" w:eastAsia="微软雅黑"/>
          <w:sz w:val="28"/>
          <w:szCs w:val="28"/>
        </w:rPr>
      </w:pPr>
    </w:p>
    <w:p>
      <w:pPr>
        <w:ind w:right="25" w:rightChars="12" w:firstLine="560" w:firstLineChars="200"/>
        <w:rPr>
          <w:rFonts w:ascii="微软雅黑" w:hAnsi="微软雅黑" w:eastAsia="微软雅黑"/>
          <w:sz w:val="28"/>
          <w:szCs w:val="28"/>
        </w:rPr>
      </w:pPr>
    </w:p>
    <w:p>
      <w:pPr>
        <w:ind w:right="25" w:rightChars="12" w:firstLine="560" w:firstLineChars="200"/>
        <w:rPr>
          <w:rFonts w:ascii="微软雅黑" w:hAnsi="微软雅黑" w:eastAsia="微软雅黑"/>
          <w:sz w:val="28"/>
          <w:szCs w:val="28"/>
        </w:rPr>
      </w:pPr>
      <w:r>
        <w:rPr>
          <w:rFonts w:hint="eastAsia" w:ascii="微软雅黑" w:hAnsi="微软雅黑" w:eastAsia="微软雅黑"/>
          <w:sz w:val="28"/>
          <w:szCs w:val="28"/>
        </w:rPr>
        <w:t xml:space="preserve">                        </w:t>
      </w:r>
    </w:p>
    <w:p>
      <w:pPr>
        <w:ind w:right="25" w:rightChars="12" w:firstLine="560" w:firstLineChars="200"/>
        <w:rPr>
          <w:rFonts w:ascii="微软雅黑" w:hAnsi="微软雅黑" w:eastAsia="微软雅黑"/>
          <w:sz w:val="28"/>
          <w:szCs w:val="28"/>
        </w:rPr>
      </w:pPr>
    </w:p>
    <w:p>
      <w:pPr>
        <w:ind w:right="25" w:rightChars="12" w:firstLine="560" w:firstLineChars="200"/>
        <w:rPr>
          <w:rFonts w:ascii="微软雅黑" w:hAnsi="微软雅黑" w:eastAsia="微软雅黑"/>
          <w:sz w:val="28"/>
          <w:szCs w:val="28"/>
        </w:rPr>
      </w:pPr>
    </w:p>
    <w:p>
      <w:pPr>
        <w:numPr>
          <w:ilvl w:val="0"/>
          <w:numId w:val="1"/>
        </w:numPr>
        <w:ind w:right="25" w:rightChars="12" w:firstLine="560" w:firstLineChars="200"/>
        <w:rPr>
          <w:rFonts w:ascii="微软雅黑" w:hAnsi="微软雅黑" w:eastAsia="微软雅黑"/>
          <w:b/>
          <w:bCs/>
          <w:sz w:val="28"/>
          <w:szCs w:val="28"/>
        </w:rPr>
      </w:pPr>
      <w:r>
        <w:rPr>
          <w:rFonts w:hint="eastAsia" w:ascii="微软雅黑" w:hAnsi="微软雅黑" w:eastAsia="微软雅黑"/>
          <w:b/>
          <w:bCs/>
          <w:sz w:val="28"/>
          <w:szCs w:val="28"/>
        </w:rPr>
        <w:t>期刊送交等要求</w:t>
      </w:r>
    </w:p>
    <w:p>
      <w:pPr>
        <w:ind w:right="25" w:rightChars="12" w:firstLine="560" w:firstLineChars="200"/>
        <w:rPr>
          <w:rFonts w:ascii="微软雅黑" w:hAnsi="微软雅黑" w:eastAsia="微软雅黑"/>
          <w:sz w:val="28"/>
          <w:szCs w:val="28"/>
        </w:rPr>
      </w:pPr>
      <w:r>
        <w:rPr>
          <w:rFonts w:hint="eastAsia" w:ascii="微软雅黑" w:hAnsi="微软雅黑" w:eastAsia="微软雅黑"/>
          <w:sz w:val="28"/>
          <w:szCs w:val="28"/>
        </w:rPr>
        <w:t>1、服务方应在合同签订之日起依需求方时间要求至需求方指定地点完成送装期刊收取工作。</w:t>
      </w:r>
    </w:p>
    <w:p>
      <w:pPr>
        <w:ind w:right="25" w:rightChars="12" w:firstLine="560" w:firstLineChars="200"/>
        <w:rPr>
          <w:rFonts w:ascii="微软雅黑" w:hAnsi="微软雅黑" w:eastAsia="微软雅黑"/>
          <w:sz w:val="28"/>
          <w:szCs w:val="28"/>
        </w:rPr>
      </w:pPr>
      <w:r>
        <w:rPr>
          <w:rFonts w:hint="eastAsia" w:ascii="微软雅黑" w:hAnsi="微软雅黑" w:eastAsia="微软雅黑"/>
          <w:sz w:val="28"/>
          <w:szCs w:val="28"/>
        </w:rPr>
        <w:t>2、合订本交货时间：三个月内如数交货；交货地点：无锡职业技术学院图书馆3楼期刊部（无锡高浪路1600号）。逾期一月，则扣该批总装订费的5%，二月扣10%，依次递增。</w:t>
      </w:r>
    </w:p>
    <w:p>
      <w:pPr>
        <w:numPr>
          <w:ilvl w:val="0"/>
          <w:numId w:val="0"/>
        </w:numPr>
        <w:ind w:right="25" w:rightChars="12" w:firstLine="560" w:firstLineChars="200"/>
        <w:rPr>
          <w:rFonts w:hint="eastAsia" w:ascii="微软雅黑" w:hAnsi="微软雅黑" w:eastAsia="微软雅黑"/>
          <w:sz w:val="28"/>
          <w:szCs w:val="28"/>
          <w:lang w:val="en-US" w:eastAsia="zh-CN"/>
        </w:rPr>
      </w:pPr>
      <w:r>
        <w:rPr>
          <w:rFonts w:hint="eastAsia" w:ascii="微软雅黑" w:hAnsi="微软雅黑" w:eastAsia="微软雅黑"/>
          <w:sz w:val="28"/>
          <w:szCs w:val="28"/>
        </w:rPr>
        <w:t>3、</w:t>
      </w:r>
      <w:r>
        <w:rPr>
          <w:rFonts w:hint="eastAsia" w:ascii="微软雅黑" w:hAnsi="微软雅黑" w:eastAsia="微软雅黑"/>
          <w:sz w:val="28"/>
          <w:szCs w:val="28"/>
          <w:lang w:val="en-US" w:eastAsia="zh-CN"/>
        </w:rPr>
        <w:t>送装期刊及装订成品均由供货方免费取送。合订本验收完毕后，供货方按照需求方要求免费提供排书上架服务。</w:t>
      </w:r>
    </w:p>
    <w:p>
      <w:pPr>
        <w:ind w:right="25" w:rightChars="12" w:firstLine="560" w:firstLineChars="200"/>
        <w:rPr>
          <w:rFonts w:ascii="微软雅黑" w:hAnsi="微软雅黑" w:eastAsia="微软雅黑"/>
          <w:sz w:val="28"/>
          <w:szCs w:val="28"/>
        </w:rPr>
      </w:pPr>
    </w:p>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57E8536"/>
    <w:multiLevelType w:val="singleLevel"/>
    <w:tmpl w:val="F57E853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AF6DDF"/>
    <w:rsid w:val="000A27BA"/>
    <w:rsid w:val="00893790"/>
    <w:rsid w:val="00B55697"/>
    <w:rsid w:val="0CEA2E93"/>
    <w:rsid w:val="2B166933"/>
    <w:rsid w:val="31373311"/>
    <w:rsid w:val="33AF6DDF"/>
    <w:rsid w:val="563E561E"/>
    <w:rsid w:val="56E97309"/>
    <w:rsid w:val="62DD129C"/>
    <w:rsid w:val="6CA26D76"/>
    <w:rsid w:val="72407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130</Words>
  <Characters>741</Characters>
  <Lines>6</Lines>
  <Paragraphs>1</Paragraphs>
  <TotalTime>4</TotalTime>
  <ScaleCrop>false</ScaleCrop>
  <LinksUpToDate>false</LinksUpToDate>
  <CharactersWithSpaces>870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2018-06-04T00:50:00Z</dcterms:created>
  <dc:creator>锡职院图书馆</dc:creator>
  <cp:lastModifiedBy>wxzy</cp:lastModifiedBy>
  <dcterms:modified xsi:type="dcterms:W3CDTF">2020-06-09T07:37:12Z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