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_GB2312" w:eastAsia="仿宋_GB2312"/>
          <w:b/>
          <w:bCs/>
          <w:color w:val="000000"/>
          <w:sz w:val="36"/>
          <w:szCs w:val="36"/>
        </w:rPr>
      </w:pPr>
      <w:bookmarkStart w:id="0" w:name="_GoBack"/>
      <w:bookmarkEnd w:id="0"/>
      <w:r>
        <w:rPr>
          <w:rFonts w:ascii="仿宋_GB2312" w:eastAsia="仿宋_GB2312"/>
          <w:b/>
          <w:bCs/>
          <w:color w:val="000000"/>
          <w:sz w:val="36"/>
          <w:szCs w:val="36"/>
        </w:rPr>
        <w:t>无锡职业技术学院</w:t>
      </w:r>
      <w:r>
        <w:rPr>
          <w:rFonts w:hint="eastAsia" w:ascii="仿宋_GB2312" w:eastAsia="仿宋_GB2312"/>
          <w:b/>
          <w:bCs/>
          <w:color w:val="000000"/>
          <w:sz w:val="36"/>
          <w:szCs w:val="36"/>
        </w:rPr>
        <w:t>服务类项目</w:t>
      </w:r>
      <w:r>
        <w:rPr>
          <w:rFonts w:ascii="仿宋_GB2312" w:eastAsia="仿宋_GB2312"/>
          <w:b/>
          <w:bCs/>
          <w:color w:val="000000"/>
          <w:sz w:val="36"/>
          <w:szCs w:val="36"/>
        </w:rPr>
        <w:t>询价单</w:t>
      </w:r>
    </w:p>
    <w:tbl>
      <w:tblPr>
        <w:tblStyle w:val="7"/>
        <w:tblW w:w="14727"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007"/>
        <w:gridCol w:w="1062"/>
        <w:gridCol w:w="2161"/>
        <w:gridCol w:w="1705"/>
        <w:gridCol w:w="988"/>
        <w:gridCol w:w="2552"/>
        <w:gridCol w:w="567"/>
        <w:gridCol w:w="808"/>
        <w:gridCol w:w="888"/>
        <w:gridCol w:w="993"/>
        <w:gridCol w:w="996"/>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13" w:hRule="atLeast"/>
        </w:trPr>
        <w:tc>
          <w:tcPr>
            <w:tcW w:w="7923" w:type="dxa"/>
            <w:gridSpan w:val="5"/>
            <w:tcBorders>
              <w:right w:val="dotDotDash" w:color="auto" w:sz="18" w:space="0"/>
            </w:tcBorders>
            <w:vAlign w:val="center"/>
          </w:tcPr>
          <w:p>
            <w:pPr>
              <w:rPr>
                <w:b/>
                <w:color w:val="000000"/>
                <w:sz w:val="24"/>
              </w:rPr>
            </w:pPr>
            <w:r>
              <w:rPr>
                <w:rFonts w:hint="eastAsia"/>
                <w:b/>
                <w:color w:val="000000"/>
                <w:sz w:val="24"/>
              </w:rPr>
              <w:t>采购人发出询价时间：2</w:t>
            </w:r>
            <w:r>
              <w:rPr>
                <w:b/>
                <w:color w:val="000000"/>
                <w:sz w:val="24"/>
              </w:rPr>
              <w:t>0</w:t>
            </w:r>
            <w:r>
              <w:rPr>
                <w:rFonts w:hint="eastAsia"/>
                <w:b/>
                <w:color w:val="000000"/>
                <w:sz w:val="24"/>
              </w:rPr>
              <w:t>20年7月</w:t>
            </w:r>
            <w:r>
              <w:rPr>
                <w:rFonts w:hint="eastAsia"/>
                <w:b/>
                <w:color w:val="000000"/>
                <w:sz w:val="24"/>
                <w:lang w:val="en-US" w:eastAsia="zh-CN"/>
              </w:rPr>
              <w:t>6</w:t>
            </w:r>
            <w:r>
              <w:rPr>
                <w:rFonts w:hint="eastAsia"/>
                <w:b/>
                <w:color w:val="000000"/>
                <w:sz w:val="24"/>
              </w:rPr>
              <w:t>日</w:t>
            </w:r>
          </w:p>
        </w:tc>
        <w:tc>
          <w:tcPr>
            <w:tcW w:w="2552" w:type="dxa"/>
            <w:tcBorders>
              <w:top w:val="double" w:color="auto" w:sz="4" w:space="0"/>
              <w:left w:val="dotDotDash" w:color="auto" w:sz="18" w:space="0"/>
              <w:bottom w:val="single" w:color="auto" w:sz="6" w:space="0"/>
            </w:tcBorders>
            <w:vAlign w:val="center"/>
          </w:tcPr>
          <w:p>
            <w:pPr>
              <w:rPr>
                <w:b/>
                <w:color w:val="000000"/>
                <w:sz w:val="24"/>
              </w:rPr>
            </w:pPr>
            <w:r>
              <w:rPr>
                <w:rFonts w:hint="eastAsia"/>
                <w:b/>
                <w:color w:val="000000"/>
                <w:sz w:val="24"/>
              </w:rPr>
              <w:t>供应商报价时间</w:t>
            </w:r>
          </w:p>
        </w:tc>
        <w:tc>
          <w:tcPr>
            <w:tcW w:w="4252" w:type="dxa"/>
            <w:gridSpan w:val="5"/>
            <w:tcBorders>
              <w:top w:val="double" w:color="auto" w:sz="4" w:space="0"/>
              <w:bottom w:val="single" w:color="auto" w:sz="6" w:space="0"/>
            </w:tcBorders>
          </w:tcPr>
          <w:p>
            <w:pPr>
              <w:jc w:val="left"/>
              <w:rPr>
                <w:b/>
                <w:color w:val="000000"/>
                <w:sz w:val="24"/>
              </w:rPr>
            </w:pPr>
            <w:r>
              <w:rPr>
                <w:rFonts w:hint="eastAsia"/>
                <w:b/>
                <w:color w:val="000000"/>
                <w:sz w:val="24"/>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007" w:type="dxa"/>
            <w:vAlign w:val="center"/>
          </w:tcPr>
          <w:p>
            <w:pPr>
              <w:rPr>
                <w:b/>
                <w:color w:val="000000"/>
                <w:sz w:val="24"/>
              </w:rPr>
            </w:pPr>
            <w:r>
              <w:rPr>
                <w:rFonts w:hint="eastAsia"/>
                <w:b/>
                <w:color w:val="000000"/>
                <w:sz w:val="24"/>
              </w:rPr>
              <w:t>采购人全称</w:t>
            </w:r>
          </w:p>
        </w:tc>
        <w:tc>
          <w:tcPr>
            <w:tcW w:w="5916" w:type="dxa"/>
            <w:gridSpan w:val="4"/>
            <w:tcBorders>
              <w:right w:val="dotDotDash" w:color="auto" w:sz="18" w:space="0"/>
            </w:tcBorders>
            <w:vAlign w:val="center"/>
          </w:tcPr>
          <w:p>
            <w:pPr>
              <w:rPr>
                <w:b/>
                <w:color w:val="000000"/>
                <w:sz w:val="24"/>
              </w:rPr>
            </w:pPr>
            <w:r>
              <w:rPr>
                <w:rFonts w:hint="eastAsia"/>
                <w:b/>
                <w:color w:val="000000"/>
                <w:sz w:val="24"/>
              </w:rPr>
              <w:t>无锡职业技术学院</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供应商全称(公章)</w:t>
            </w:r>
          </w:p>
        </w:tc>
        <w:tc>
          <w:tcPr>
            <w:tcW w:w="4252" w:type="dxa"/>
            <w:gridSpan w:val="5"/>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007" w:type="dxa"/>
            <w:vAlign w:val="center"/>
          </w:tcPr>
          <w:p>
            <w:pPr>
              <w:rPr>
                <w:b/>
                <w:color w:val="000000"/>
                <w:sz w:val="24"/>
              </w:rPr>
            </w:pPr>
            <w:r>
              <w:rPr>
                <w:rFonts w:hint="eastAsia"/>
                <w:b/>
                <w:color w:val="000000"/>
                <w:sz w:val="24"/>
              </w:rPr>
              <w:t>采购人详细地址</w:t>
            </w:r>
          </w:p>
        </w:tc>
        <w:tc>
          <w:tcPr>
            <w:tcW w:w="5916" w:type="dxa"/>
            <w:gridSpan w:val="4"/>
            <w:tcBorders>
              <w:right w:val="dotDotDash" w:color="auto" w:sz="18" w:space="0"/>
            </w:tcBorders>
            <w:vAlign w:val="center"/>
          </w:tcPr>
          <w:p>
            <w:pPr>
              <w:rPr>
                <w:b/>
                <w:color w:val="000000"/>
                <w:sz w:val="24"/>
              </w:rPr>
            </w:pPr>
            <w:r>
              <w:rPr>
                <w:rFonts w:hint="eastAsia"/>
                <w:b/>
                <w:color w:val="000000"/>
                <w:sz w:val="24"/>
              </w:rPr>
              <w:t>无锡市高浪西路1</w:t>
            </w:r>
            <w:r>
              <w:rPr>
                <w:b/>
                <w:color w:val="000000"/>
                <w:sz w:val="24"/>
              </w:rPr>
              <w:t>600</w:t>
            </w:r>
            <w:r>
              <w:rPr>
                <w:rFonts w:hint="eastAsia"/>
                <w:b/>
                <w:color w:val="000000"/>
                <w:sz w:val="24"/>
              </w:rPr>
              <w:t>号</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供应商详细地址</w:t>
            </w:r>
          </w:p>
        </w:tc>
        <w:tc>
          <w:tcPr>
            <w:tcW w:w="4252" w:type="dxa"/>
            <w:gridSpan w:val="5"/>
            <w:tcBorders>
              <w:top w:val="single" w:color="auto" w:sz="6" w:space="0"/>
              <w:bottom w:val="single" w:color="auto" w:sz="6" w:space="0"/>
            </w:tcBorders>
          </w:tcPr>
          <w:p>
            <w:pPr>
              <w:jc w:val="left"/>
              <w:rPr>
                <w:b/>
                <w:color w:val="000000"/>
                <w:sz w:val="24"/>
              </w:rPr>
            </w:pPr>
            <w:r>
              <w:rPr>
                <w:rFonts w:hint="eastAsia"/>
                <w:b/>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3" w:hRule="atLeast"/>
        </w:trPr>
        <w:tc>
          <w:tcPr>
            <w:tcW w:w="2007" w:type="dxa"/>
            <w:vAlign w:val="center"/>
          </w:tcPr>
          <w:p>
            <w:pPr>
              <w:spacing w:line="500" w:lineRule="auto"/>
              <w:jc w:val="center"/>
              <w:rPr>
                <w:b/>
                <w:color w:val="000000"/>
                <w:sz w:val="24"/>
              </w:rPr>
            </w:pPr>
            <w:r>
              <w:rPr>
                <w:rFonts w:hint="eastAsia"/>
                <w:b/>
                <w:color w:val="000000"/>
                <w:sz w:val="24"/>
              </w:rPr>
              <w:t>经办人</w:t>
            </w:r>
          </w:p>
        </w:tc>
        <w:tc>
          <w:tcPr>
            <w:tcW w:w="1062" w:type="dxa"/>
            <w:vAlign w:val="center"/>
          </w:tcPr>
          <w:p>
            <w:pPr>
              <w:jc w:val="center"/>
              <w:rPr>
                <w:b/>
                <w:color w:val="000000"/>
                <w:sz w:val="24"/>
              </w:rPr>
            </w:pPr>
            <w:r>
              <w:rPr>
                <w:rFonts w:hint="eastAsia"/>
                <w:b/>
                <w:color w:val="000000"/>
                <w:sz w:val="24"/>
              </w:rPr>
              <w:t>肖老师</w:t>
            </w:r>
          </w:p>
        </w:tc>
        <w:tc>
          <w:tcPr>
            <w:tcW w:w="2161" w:type="dxa"/>
            <w:vAlign w:val="center"/>
          </w:tcPr>
          <w:p>
            <w:pPr>
              <w:jc w:val="center"/>
              <w:rPr>
                <w:b/>
                <w:color w:val="000000"/>
                <w:sz w:val="24"/>
              </w:rPr>
            </w:pPr>
            <w:r>
              <w:rPr>
                <w:rFonts w:hint="eastAsia"/>
                <w:b/>
                <w:color w:val="000000"/>
                <w:sz w:val="24"/>
              </w:rPr>
              <w:t>联系电话</w:t>
            </w:r>
          </w:p>
        </w:tc>
        <w:tc>
          <w:tcPr>
            <w:tcW w:w="2693" w:type="dxa"/>
            <w:gridSpan w:val="2"/>
            <w:tcBorders>
              <w:right w:val="dotDotDash" w:color="auto" w:sz="18" w:space="0"/>
            </w:tcBorders>
            <w:vAlign w:val="center"/>
          </w:tcPr>
          <w:p>
            <w:pPr>
              <w:jc w:val="center"/>
              <w:rPr>
                <w:b/>
                <w:color w:val="000000"/>
                <w:sz w:val="24"/>
              </w:rPr>
            </w:pPr>
            <w:r>
              <w:rPr>
                <w:rFonts w:hint="eastAsia"/>
                <w:b/>
                <w:color w:val="000000"/>
                <w:sz w:val="24"/>
              </w:rPr>
              <w:t>13656183062</w:t>
            </w:r>
          </w:p>
        </w:tc>
        <w:tc>
          <w:tcPr>
            <w:tcW w:w="2552" w:type="dxa"/>
            <w:tcBorders>
              <w:top w:val="single" w:color="auto" w:sz="6" w:space="0"/>
              <w:left w:val="dotDotDash" w:color="auto" w:sz="18" w:space="0"/>
              <w:bottom w:val="single" w:color="auto" w:sz="6" w:space="0"/>
            </w:tcBorders>
            <w:vAlign w:val="center"/>
          </w:tcPr>
          <w:p>
            <w:pPr>
              <w:rPr>
                <w:b/>
                <w:color w:val="000000"/>
                <w:sz w:val="24"/>
              </w:rPr>
            </w:pPr>
            <w:r>
              <w:rPr>
                <w:rFonts w:hint="eastAsia"/>
                <w:b/>
                <w:color w:val="000000"/>
                <w:sz w:val="24"/>
              </w:rPr>
              <w:t>授权代表及联系电话</w:t>
            </w:r>
          </w:p>
        </w:tc>
        <w:tc>
          <w:tcPr>
            <w:tcW w:w="4252" w:type="dxa"/>
            <w:gridSpan w:val="5"/>
            <w:tcBorders>
              <w:top w:val="single" w:color="auto" w:sz="6" w:space="0"/>
              <w:bottom w:val="single" w:color="auto" w:sz="6" w:space="0"/>
            </w:tcBorders>
          </w:tcPr>
          <w:p>
            <w:pPr>
              <w:jc w:val="left"/>
              <w:rPr>
                <w:b/>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2007" w:type="dxa"/>
            <w:vAlign w:val="center"/>
          </w:tcPr>
          <w:p>
            <w:pPr>
              <w:spacing w:line="500" w:lineRule="auto"/>
              <w:jc w:val="center"/>
              <w:rPr>
                <w:b/>
                <w:color w:val="000000"/>
                <w:sz w:val="24"/>
              </w:rPr>
            </w:pPr>
            <w:r>
              <w:rPr>
                <w:rFonts w:hint="eastAsia"/>
                <w:b/>
                <w:color w:val="000000"/>
                <w:sz w:val="24"/>
              </w:rPr>
              <w:t>项目名称</w:t>
            </w:r>
          </w:p>
        </w:tc>
        <w:tc>
          <w:tcPr>
            <w:tcW w:w="4928" w:type="dxa"/>
            <w:gridSpan w:val="3"/>
            <w:vAlign w:val="center"/>
          </w:tcPr>
          <w:p>
            <w:pPr>
              <w:jc w:val="center"/>
              <w:rPr>
                <w:b/>
                <w:color w:val="000000"/>
                <w:sz w:val="24"/>
              </w:rPr>
            </w:pPr>
            <w:r>
              <w:rPr>
                <w:rFonts w:hint="eastAsia"/>
                <w:b/>
                <w:color w:val="000000"/>
                <w:sz w:val="24"/>
              </w:rPr>
              <w:t>功能及技术要求</w:t>
            </w:r>
          </w:p>
        </w:tc>
        <w:tc>
          <w:tcPr>
            <w:tcW w:w="988" w:type="dxa"/>
            <w:tcBorders>
              <w:right w:val="dotDotDash" w:color="auto" w:sz="18" w:space="0"/>
            </w:tcBorders>
            <w:vAlign w:val="center"/>
          </w:tcPr>
          <w:p>
            <w:pPr>
              <w:jc w:val="center"/>
              <w:rPr>
                <w:b/>
                <w:color w:val="000000"/>
                <w:sz w:val="24"/>
              </w:rPr>
            </w:pPr>
            <w:r>
              <w:rPr>
                <w:rFonts w:hint="eastAsia"/>
                <w:b/>
                <w:color w:val="000000"/>
                <w:sz w:val="24"/>
              </w:rPr>
              <w:t>数量</w:t>
            </w:r>
          </w:p>
        </w:tc>
        <w:tc>
          <w:tcPr>
            <w:tcW w:w="3119" w:type="dxa"/>
            <w:gridSpan w:val="2"/>
            <w:tcBorders>
              <w:top w:val="single" w:color="auto" w:sz="6" w:space="0"/>
              <w:left w:val="dotDotDash" w:color="auto" w:sz="18" w:space="0"/>
              <w:bottom w:val="single" w:color="auto" w:sz="6" w:space="0"/>
            </w:tcBorders>
            <w:vAlign w:val="center"/>
          </w:tcPr>
          <w:p>
            <w:pPr>
              <w:jc w:val="center"/>
              <w:rPr>
                <w:b/>
                <w:color w:val="000000"/>
                <w:sz w:val="24"/>
              </w:rPr>
            </w:pPr>
            <w:r>
              <w:rPr>
                <w:rFonts w:hint="eastAsia"/>
                <w:b/>
                <w:color w:val="000000"/>
                <w:sz w:val="24"/>
              </w:rPr>
              <w:t>响应功能及技术要求</w:t>
            </w:r>
          </w:p>
        </w:tc>
        <w:tc>
          <w:tcPr>
            <w:tcW w:w="80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单价</w:t>
            </w:r>
          </w:p>
        </w:tc>
        <w:tc>
          <w:tcPr>
            <w:tcW w:w="888" w:type="dxa"/>
            <w:tcBorders>
              <w:top w:val="single" w:color="auto" w:sz="6" w:space="0"/>
              <w:bottom w:val="single" w:color="auto" w:sz="6" w:space="0"/>
            </w:tcBorders>
            <w:vAlign w:val="center"/>
          </w:tcPr>
          <w:p>
            <w:pPr>
              <w:jc w:val="center"/>
              <w:rPr>
                <w:b/>
                <w:color w:val="000000"/>
                <w:sz w:val="24"/>
              </w:rPr>
            </w:pPr>
            <w:r>
              <w:rPr>
                <w:rFonts w:hint="eastAsia"/>
                <w:b/>
                <w:color w:val="000000"/>
                <w:sz w:val="24"/>
              </w:rPr>
              <w:t>总价</w:t>
            </w:r>
          </w:p>
        </w:tc>
        <w:tc>
          <w:tcPr>
            <w:tcW w:w="993" w:type="dxa"/>
            <w:tcBorders>
              <w:top w:val="single" w:color="auto" w:sz="6" w:space="0"/>
              <w:bottom w:val="single" w:color="auto" w:sz="6" w:space="0"/>
            </w:tcBorders>
            <w:vAlign w:val="center"/>
          </w:tcPr>
          <w:p>
            <w:pPr>
              <w:jc w:val="center"/>
              <w:rPr>
                <w:b/>
                <w:color w:val="000000"/>
                <w:sz w:val="24"/>
              </w:rPr>
            </w:pPr>
            <w:r>
              <w:rPr>
                <w:rFonts w:hint="eastAsia"/>
                <w:b/>
                <w:color w:val="000000"/>
                <w:sz w:val="24"/>
              </w:rPr>
              <w:t>质保期</w:t>
            </w:r>
          </w:p>
        </w:tc>
        <w:tc>
          <w:tcPr>
            <w:tcW w:w="996" w:type="dxa"/>
            <w:tcBorders>
              <w:top w:val="single" w:color="auto" w:sz="6" w:space="0"/>
              <w:bottom w:val="single" w:color="auto" w:sz="6" w:space="0"/>
            </w:tcBorders>
            <w:vAlign w:val="center"/>
          </w:tcPr>
          <w:p>
            <w:pPr>
              <w:jc w:val="center"/>
              <w:rPr>
                <w:b/>
                <w:color w:val="000000"/>
                <w:sz w:val="24"/>
              </w:rPr>
            </w:pPr>
            <w:r>
              <w:rPr>
                <w:rFonts w:hint="eastAsia"/>
                <w:b/>
                <w:color w:val="000000"/>
                <w:sz w:val="24"/>
              </w:rPr>
              <w:t>供货期</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256" w:hRule="atLeast"/>
        </w:trPr>
        <w:tc>
          <w:tcPr>
            <w:tcW w:w="2007" w:type="dxa"/>
            <w:vAlign w:val="center"/>
          </w:tcPr>
          <w:p>
            <w:pPr>
              <w:numPr>
                <w:ilvl w:val="0"/>
                <w:numId w:val="1"/>
              </w:numPr>
              <w:autoSpaceDE w:val="0"/>
              <w:autoSpaceDN w:val="0"/>
              <w:adjustRightInd w:val="0"/>
              <w:jc w:val="left"/>
            </w:pPr>
            <w:r>
              <w:rPr>
                <w:rFonts w:hint="eastAsia"/>
              </w:rPr>
              <w:t>“互联网+”高校安全教育服务（保卫处）（</w:t>
            </w:r>
            <w:r>
              <w:rPr>
                <w:rFonts w:hint="eastAsia" w:ascii="宋体" w:hAnsi="宋体"/>
                <w:szCs w:val="21"/>
              </w:rPr>
              <w:t>（</w:t>
            </w:r>
            <w:r>
              <w:rPr>
                <w:rFonts w:ascii="宋体" w:hAnsi="宋体"/>
                <w:szCs w:val="21"/>
              </w:rPr>
              <w:t>BW</w:t>
            </w:r>
            <w:r>
              <w:rPr>
                <w:rFonts w:hint="eastAsia" w:ascii="宋体" w:hAnsi="宋体"/>
                <w:szCs w:val="21"/>
              </w:rPr>
              <w:t>XJ-20</w:t>
            </w:r>
            <w:r>
              <w:rPr>
                <w:rFonts w:ascii="宋体" w:hAnsi="宋体"/>
                <w:szCs w:val="21"/>
              </w:rPr>
              <w:t>20</w:t>
            </w:r>
            <w:r>
              <w:rPr>
                <w:rFonts w:hint="eastAsia" w:ascii="宋体" w:hAnsi="宋体"/>
                <w:szCs w:val="21"/>
              </w:rPr>
              <w:t>-07</w:t>
            </w:r>
            <w:r>
              <w:rPr>
                <w:rFonts w:ascii="宋体" w:hAnsi="宋体"/>
                <w:szCs w:val="21"/>
              </w:rPr>
              <w:t>-</w:t>
            </w:r>
            <w:r>
              <w:rPr>
                <w:rFonts w:hint="eastAsia" w:ascii="宋体" w:hAnsi="宋体"/>
                <w:szCs w:val="21"/>
              </w:rPr>
              <w:t>03-</w:t>
            </w:r>
            <w:r>
              <w:rPr>
                <w:rFonts w:ascii="宋体" w:hAnsi="宋体"/>
                <w:szCs w:val="21"/>
              </w:rPr>
              <w:t>01</w:t>
            </w:r>
            <w:r>
              <w:rPr>
                <w:rFonts w:hint="eastAsia" w:ascii="宋体" w:hAnsi="宋体"/>
                <w:szCs w:val="21"/>
              </w:rPr>
              <w:t>）</w:t>
            </w:r>
          </w:p>
        </w:tc>
        <w:tc>
          <w:tcPr>
            <w:tcW w:w="4928" w:type="dxa"/>
            <w:gridSpan w:val="3"/>
            <w:vAlign w:val="center"/>
          </w:tcPr>
          <w:p>
            <w:pPr>
              <w:rPr>
                <w:rFonts w:ascii="宋体" w:hAnsi="宋体"/>
                <w:szCs w:val="21"/>
              </w:rPr>
            </w:pPr>
            <w:r>
              <w:rPr>
                <w:rFonts w:hint="eastAsia" w:ascii="宋体" w:hAnsi="宋体"/>
                <w:szCs w:val="21"/>
              </w:rPr>
              <w:t>一、服务平台功能</w:t>
            </w:r>
          </w:p>
          <w:p>
            <w:pPr>
              <w:rPr>
                <w:rFonts w:ascii="宋体" w:hAnsi="宋体"/>
                <w:szCs w:val="21"/>
              </w:rPr>
            </w:pPr>
            <w:r>
              <w:rPr>
                <w:rFonts w:hint="eastAsia" w:ascii="宋体" w:hAnsi="宋体"/>
                <w:szCs w:val="21"/>
              </w:rPr>
              <w:t>1.学生端功能：安全微课学习、学习进度、在线考试、通知公告、失物招领、安全隐患随手拍、怎么办、应急联络、个人信息、服务中心、学习档案等。</w:t>
            </w:r>
          </w:p>
          <w:p>
            <w:pPr>
              <w:autoSpaceDE w:val="0"/>
              <w:autoSpaceDN w:val="0"/>
              <w:adjustRightInd w:val="0"/>
              <w:rPr>
                <w:rFonts w:ascii="宋体" w:hAnsi="宋体"/>
                <w:szCs w:val="21"/>
              </w:rPr>
            </w:pPr>
            <w:r>
              <w:rPr>
                <w:rFonts w:hint="eastAsia" w:ascii="宋体" w:hAnsi="宋体"/>
                <w:szCs w:val="21"/>
              </w:rPr>
              <w:t>2.管理端功能：查看教学计划、查看学习进度、通知公告管理、失物招领管理、安全隐患随手拍管理、线下活动管理、调查问卷管理、应急联络管理等。</w:t>
            </w:r>
          </w:p>
          <w:p>
            <w:pPr>
              <w:rPr>
                <w:rFonts w:ascii="宋体" w:hAnsi="宋体"/>
                <w:szCs w:val="21"/>
              </w:rPr>
            </w:pPr>
            <w:r>
              <w:rPr>
                <w:rFonts w:hint="eastAsia" w:ascii="宋体" w:hAnsi="宋体"/>
                <w:szCs w:val="21"/>
              </w:rPr>
              <w:t>二、在线教育课程内容</w:t>
            </w:r>
          </w:p>
          <w:p>
            <w:pPr>
              <w:autoSpaceDE w:val="0"/>
              <w:autoSpaceDN w:val="0"/>
              <w:adjustRightInd w:val="0"/>
              <w:rPr>
                <w:rFonts w:ascii="宋体" w:hAnsi="宋体"/>
                <w:szCs w:val="21"/>
              </w:rPr>
            </w:pPr>
            <w:r>
              <w:rPr>
                <w:rFonts w:hint="eastAsia" w:ascii="宋体" w:hAnsi="宋体"/>
                <w:szCs w:val="21"/>
              </w:rPr>
              <w:t>1、安全教育模块涵盖以下内容</w:t>
            </w:r>
          </w:p>
          <w:p>
            <w:pPr>
              <w:autoSpaceDE w:val="0"/>
              <w:autoSpaceDN w:val="0"/>
              <w:adjustRightInd w:val="0"/>
              <w:rPr>
                <w:rFonts w:ascii="宋体" w:hAnsi="宋体"/>
                <w:szCs w:val="21"/>
              </w:rPr>
            </w:pPr>
            <w:r>
              <w:rPr>
                <w:rFonts w:hint="eastAsia" w:ascii="宋体" w:hAnsi="宋体"/>
                <w:szCs w:val="21"/>
              </w:rPr>
              <w:t>交通安全、消防安全、人身安全、财产安全、国家安全、网络安全、反恐安全教育、恋爱心理、人际交往安全、心理健康、运动安全、身体健康、预防艾滋病、传染病防治、外出及旅游安全、回家及返校安全、防范诈骗、应对突发事件、自然灾害、急救知识、实习与社会实践安全、学习生活、居家安全、求职安全、实验室安全、禁毒教育等33大类。</w:t>
            </w:r>
          </w:p>
          <w:p>
            <w:pPr>
              <w:autoSpaceDE w:val="0"/>
              <w:autoSpaceDN w:val="0"/>
              <w:adjustRightInd w:val="0"/>
              <w:rPr>
                <w:rFonts w:ascii="宋体" w:hAnsi="宋体"/>
                <w:szCs w:val="21"/>
              </w:rPr>
            </w:pPr>
            <w:r>
              <w:rPr>
                <w:rFonts w:hint="eastAsia" w:ascii="宋体" w:hAnsi="宋体"/>
                <w:szCs w:val="21"/>
              </w:rPr>
              <w:t>2、内容表现形式</w:t>
            </w:r>
          </w:p>
          <w:p>
            <w:pPr>
              <w:autoSpaceDE w:val="0"/>
              <w:autoSpaceDN w:val="0"/>
              <w:adjustRightInd w:val="0"/>
              <w:rPr>
                <w:rFonts w:ascii="宋体" w:hAnsi="宋体"/>
                <w:szCs w:val="21"/>
              </w:rPr>
            </w:pPr>
            <w:r>
              <w:rPr>
                <w:rFonts w:hint="eastAsia" w:ascii="宋体" w:hAnsi="宋体"/>
                <w:szCs w:val="21"/>
              </w:rPr>
              <w:t>课程以移动端微课为主要表现形式，采用翻页动画、游戏交互、图文混排、动画视频、真人讲解等多种媒体表现方式，微课内容短小精悍，逻辑性强，每门微课时间约1-3分钟，其中翻页动画超过50%。</w:t>
            </w:r>
          </w:p>
          <w:p>
            <w:pPr>
              <w:autoSpaceDE w:val="0"/>
              <w:autoSpaceDN w:val="0"/>
              <w:adjustRightInd w:val="0"/>
              <w:rPr>
                <w:rFonts w:ascii="宋体" w:hAnsi="宋体"/>
                <w:szCs w:val="21"/>
              </w:rPr>
            </w:pPr>
            <w:r>
              <w:rPr>
                <w:rFonts w:hint="eastAsia" w:ascii="宋体" w:hAnsi="宋体"/>
                <w:szCs w:val="21"/>
              </w:rPr>
              <w:t>3、安全微课数量</w:t>
            </w:r>
          </w:p>
          <w:p>
            <w:pPr>
              <w:autoSpaceDE w:val="0"/>
              <w:autoSpaceDN w:val="0"/>
              <w:adjustRightInd w:val="0"/>
              <w:rPr>
                <w:sz w:val="24"/>
                <w:szCs w:val="24"/>
              </w:rPr>
            </w:pPr>
            <w:r>
              <w:rPr>
                <w:rFonts w:hint="eastAsia" w:ascii="宋体" w:hAnsi="宋体"/>
                <w:szCs w:val="21"/>
              </w:rPr>
              <w:t>需提供500门以上微课供学校挑选。</w:t>
            </w:r>
          </w:p>
        </w:tc>
        <w:tc>
          <w:tcPr>
            <w:tcW w:w="988" w:type="dxa"/>
            <w:tcBorders>
              <w:right w:val="dotDotDash" w:color="auto" w:sz="18" w:space="0"/>
            </w:tcBorders>
            <w:vAlign w:val="center"/>
          </w:tcPr>
          <w:p>
            <w:pPr>
              <w:autoSpaceDE w:val="0"/>
              <w:autoSpaceDN w:val="0"/>
              <w:adjustRightInd w:val="0"/>
              <w:rPr>
                <w:sz w:val="24"/>
                <w:szCs w:val="24"/>
              </w:rPr>
            </w:pPr>
            <w:r>
              <w:rPr>
                <w:rFonts w:hint="eastAsia"/>
                <w:sz w:val="24"/>
                <w:szCs w:val="24"/>
              </w:rPr>
              <w:t>1</w:t>
            </w:r>
          </w:p>
        </w:tc>
        <w:tc>
          <w:tcPr>
            <w:tcW w:w="3119" w:type="dxa"/>
            <w:gridSpan w:val="2"/>
            <w:tcBorders>
              <w:top w:val="single" w:color="auto" w:sz="6" w:space="0"/>
              <w:left w:val="dotDotDash" w:color="auto" w:sz="18" w:space="0"/>
            </w:tcBorders>
          </w:tcPr>
          <w:p>
            <w:pPr>
              <w:jc w:val="left"/>
              <w:rPr>
                <w:color w:val="000000"/>
                <w:sz w:val="24"/>
              </w:rPr>
            </w:pPr>
          </w:p>
        </w:tc>
        <w:tc>
          <w:tcPr>
            <w:tcW w:w="808" w:type="dxa"/>
          </w:tcPr>
          <w:p>
            <w:pPr>
              <w:jc w:val="left"/>
              <w:rPr>
                <w:color w:val="000000"/>
                <w:sz w:val="24"/>
              </w:rPr>
            </w:pPr>
          </w:p>
        </w:tc>
        <w:tc>
          <w:tcPr>
            <w:tcW w:w="888" w:type="dxa"/>
          </w:tcPr>
          <w:p>
            <w:pPr>
              <w:jc w:val="left"/>
              <w:rPr>
                <w:color w:val="000000"/>
                <w:sz w:val="24"/>
              </w:rPr>
            </w:pPr>
          </w:p>
        </w:tc>
        <w:tc>
          <w:tcPr>
            <w:tcW w:w="993" w:type="dxa"/>
          </w:tcPr>
          <w:p>
            <w:pPr>
              <w:jc w:val="left"/>
              <w:rPr>
                <w:color w:val="000000"/>
                <w:sz w:val="24"/>
              </w:rPr>
            </w:pPr>
          </w:p>
        </w:tc>
        <w:tc>
          <w:tcPr>
            <w:tcW w:w="996" w:type="dxa"/>
          </w:tcPr>
          <w:p>
            <w:pPr>
              <w:jc w:val="left"/>
              <w:rPr>
                <w:color w:val="000000"/>
                <w:sz w:val="24"/>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007" w:type="dxa"/>
            <w:vAlign w:val="center"/>
          </w:tcPr>
          <w:p>
            <w:pPr>
              <w:autoSpaceDE w:val="0"/>
              <w:autoSpaceDN w:val="0"/>
              <w:adjustRightInd w:val="0"/>
              <w:rPr>
                <w:sz w:val="24"/>
                <w:szCs w:val="24"/>
              </w:rPr>
            </w:pPr>
            <w:r>
              <w:rPr>
                <w:rFonts w:hint="eastAsia"/>
                <w:sz w:val="24"/>
                <w:szCs w:val="24"/>
              </w:rPr>
              <w:t>备注</w:t>
            </w:r>
          </w:p>
        </w:tc>
        <w:tc>
          <w:tcPr>
            <w:tcW w:w="5916" w:type="dxa"/>
            <w:gridSpan w:val="4"/>
            <w:tcBorders>
              <w:right w:val="dotDotDash" w:color="auto" w:sz="18" w:space="0"/>
            </w:tcBorders>
            <w:vAlign w:val="center"/>
          </w:tcPr>
          <w:p>
            <w:pPr>
              <w:pStyle w:val="12"/>
              <w:numPr>
                <w:ilvl w:val="0"/>
                <w:numId w:val="2"/>
              </w:numPr>
              <w:autoSpaceDE w:val="0"/>
              <w:autoSpaceDN w:val="0"/>
              <w:adjustRightInd w:val="0"/>
              <w:ind w:firstLineChars="0"/>
              <w:rPr>
                <w:sz w:val="24"/>
                <w:szCs w:val="24"/>
              </w:rPr>
            </w:pPr>
            <w:r>
              <w:rPr>
                <w:rFonts w:hint="eastAsia"/>
                <w:sz w:val="24"/>
                <w:szCs w:val="24"/>
              </w:rPr>
              <w:t>供应商资格要求</w:t>
            </w:r>
          </w:p>
          <w:p>
            <w:pPr>
              <w:pStyle w:val="6"/>
              <w:tabs>
                <w:tab w:val="left" w:pos="0"/>
              </w:tabs>
              <w:spacing w:before="0" w:beforeAutospacing="0" w:after="0" w:afterAutospacing="0" w:line="300" w:lineRule="auto"/>
              <w:ind w:firstLine="240" w:firstLineChars="100"/>
              <w:rPr>
                <w:rFonts w:ascii="Times New Roman" w:hAnsi="Times New Roman"/>
                <w:kern w:val="2"/>
              </w:rPr>
            </w:pPr>
            <w:r>
              <w:rPr>
                <w:rFonts w:hint="eastAsia" w:ascii="Times New Roman" w:hAnsi="Times New Roman"/>
                <w:kern w:val="2"/>
              </w:rPr>
              <w:t>投标人参加本次采购活动除应当符合《中华人民共和国政府采购法》第二十二条的规定外，还必须具备以下条件：</w:t>
            </w:r>
          </w:p>
          <w:p>
            <w:pPr>
              <w:rPr>
                <w:sz w:val="24"/>
                <w:szCs w:val="24"/>
              </w:rPr>
            </w:pPr>
            <w:r>
              <w:rPr>
                <w:rFonts w:hint="eastAsia"/>
                <w:sz w:val="24"/>
                <w:szCs w:val="24"/>
              </w:rPr>
              <w:t>1、具有独立承担民事责任的能力（提供法人或者其他组织的营业执照，自然人的身份证明）；</w:t>
            </w:r>
          </w:p>
          <w:p>
            <w:pPr>
              <w:rPr>
                <w:sz w:val="24"/>
                <w:szCs w:val="24"/>
              </w:rPr>
            </w:pPr>
            <w:r>
              <w:rPr>
                <w:sz w:val="24"/>
                <w:szCs w:val="24"/>
              </w:rPr>
              <w:t>2</w:t>
            </w:r>
            <w:r>
              <w:rPr>
                <w:rFonts w:hint="eastAsia"/>
                <w:sz w:val="24"/>
                <w:szCs w:val="24"/>
              </w:rPr>
              <w:t>、具有履行合同所必需的设备和专业技术能力（根据项目需求提供履行合同所必需的设备和专业技术能力的证明材料）；</w:t>
            </w:r>
          </w:p>
          <w:p>
            <w:pPr>
              <w:rPr>
                <w:sz w:val="24"/>
                <w:szCs w:val="24"/>
              </w:rPr>
            </w:pPr>
            <w:r>
              <w:rPr>
                <w:sz w:val="24"/>
                <w:szCs w:val="24"/>
              </w:rPr>
              <w:t>3</w:t>
            </w:r>
            <w:r>
              <w:rPr>
                <w:rFonts w:hint="eastAsia"/>
                <w:sz w:val="24"/>
                <w:szCs w:val="24"/>
              </w:rPr>
              <w:t>、有依法缴纳税收和社会保障资金的良好记录（提供参加本次采购活动前一年度任意月份）依法缴纳税收和社会保障资金的相关材料）；</w:t>
            </w:r>
          </w:p>
          <w:p>
            <w:pPr>
              <w:rPr>
                <w:sz w:val="24"/>
                <w:szCs w:val="24"/>
              </w:rPr>
            </w:pPr>
            <w:r>
              <w:rPr>
                <w:sz w:val="24"/>
                <w:szCs w:val="24"/>
              </w:rPr>
              <w:t>4</w:t>
            </w:r>
            <w:r>
              <w:rPr>
                <w:rFonts w:hint="eastAsia"/>
                <w:sz w:val="24"/>
                <w:szCs w:val="24"/>
              </w:rPr>
              <w:t>、参加本次采购活动前三年内，在经营活动中没有重大违法或不良征信记录（提供参加本次采购活动前3年内在经营活动中没有重大违法记录的书面声明）（格式自拟）。</w:t>
            </w:r>
          </w:p>
          <w:p>
            <w:pPr>
              <w:rPr>
                <w:sz w:val="24"/>
                <w:szCs w:val="24"/>
              </w:rPr>
            </w:pPr>
            <w:r>
              <w:rPr>
                <w:sz w:val="24"/>
                <w:szCs w:val="24"/>
              </w:rPr>
              <w:t>5</w:t>
            </w:r>
            <w:r>
              <w:rPr>
                <w:rFonts w:hint="eastAsia"/>
                <w:sz w:val="24"/>
                <w:szCs w:val="24"/>
              </w:rPr>
              <w:t>、拒绝列入失信被执行人、重大税收违法案件当事人名单、政府采购严重违法失信行为记录名单中的供应商参加本项目的采购活动。供应商应提供“信用中国”网站（www.creditchina.gov.cn）、“中国政府采购网”网站（www.ccgp.gov.cn）等渠道查询供应商在采购公告发布之前3年内的信用记录查询结果。</w:t>
            </w:r>
          </w:p>
          <w:p>
            <w:pPr>
              <w:rPr>
                <w:sz w:val="24"/>
                <w:szCs w:val="24"/>
              </w:rPr>
            </w:pPr>
            <w:r>
              <w:rPr>
                <w:sz w:val="24"/>
                <w:szCs w:val="24"/>
              </w:rPr>
              <w:t>6</w:t>
            </w:r>
            <w:r>
              <w:rPr>
                <w:rFonts w:hint="eastAsia"/>
                <w:sz w:val="24"/>
                <w:szCs w:val="24"/>
              </w:rPr>
              <w:t>、具有投标产品的软件著作权证书，并对不会侵犯任何第三方专利权、商标权或著作权进行承诺。</w:t>
            </w:r>
          </w:p>
          <w:p>
            <w:pPr>
              <w:rPr>
                <w:sz w:val="24"/>
                <w:szCs w:val="24"/>
              </w:rPr>
            </w:pPr>
            <w:r>
              <w:rPr>
                <w:sz w:val="24"/>
                <w:szCs w:val="24"/>
              </w:rPr>
              <w:t>7</w:t>
            </w:r>
            <w:r>
              <w:rPr>
                <w:rFonts w:hint="eastAsia"/>
                <w:sz w:val="24"/>
                <w:szCs w:val="24"/>
              </w:rPr>
              <w:t>、投标人在参与报名时应提交上述符合供应商资格的文件，符合供应商资格要求的供应商才允许参与本项目的投标。</w:t>
            </w:r>
          </w:p>
          <w:p>
            <w:pPr>
              <w:rPr>
                <w:sz w:val="24"/>
                <w:szCs w:val="24"/>
              </w:rPr>
            </w:pPr>
            <w:r>
              <w:rPr>
                <w:sz w:val="24"/>
                <w:szCs w:val="24"/>
              </w:rPr>
              <w:t>8</w:t>
            </w:r>
            <w:r>
              <w:rPr>
                <w:rFonts w:hint="eastAsia"/>
                <w:sz w:val="24"/>
                <w:szCs w:val="24"/>
              </w:rPr>
              <w:t>、本项目不接受联合体参选。</w:t>
            </w:r>
          </w:p>
          <w:p>
            <w:pPr>
              <w:autoSpaceDE w:val="0"/>
              <w:autoSpaceDN w:val="0"/>
              <w:adjustRightInd w:val="0"/>
              <w:rPr>
                <w:sz w:val="24"/>
                <w:szCs w:val="24"/>
              </w:rPr>
            </w:pPr>
            <w:r>
              <w:rPr>
                <w:rFonts w:hint="eastAsia"/>
                <w:sz w:val="24"/>
                <w:szCs w:val="24"/>
              </w:rPr>
              <w:t>二、报价要求</w:t>
            </w:r>
          </w:p>
          <w:p>
            <w:pPr>
              <w:autoSpaceDE w:val="0"/>
              <w:autoSpaceDN w:val="0"/>
              <w:adjustRightInd w:val="0"/>
              <w:rPr>
                <w:sz w:val="24"/>
                <w:szCs w:val="24"/>
              </w:rPr>
            </w:pPr>
            <w:r>
              <w:rPr>
                <w:rFonts w:hint="eastAsia"/>
                <w:sz w:val="24"/>
                <w:szCs w:val="24"/>
              </w:rPr>
              <w:t>1、报价应包含运输、保险、安装、调试、税费等所有费用；</w:t>
            </w:r>
          </w:p>
          <w:p>
            <w:pPr>
              <w:autoSpaceDE w:val="0"/>
              <w:autoSpaceDN w:val="0"/>
              <w:adjustRightInd w:val="0"/>
              <w:rPr>
                <w:sz w:val="24"/>
                <w:szCs w:val="24"/>
              </w:rPr>
            </w:pPr>
            <w:r>
              <w:rPr>
                <w:rFonts w:hint="eastAsia"/>
                <w:sz w:val="24"/>
                <w:szCs w:val="24"/>
              </w:rPr>
              <w:t>2、交货地点：无锡职业技术学院内指定地点；</w:t>
            </w:r>
          </w:p>
          <w:p>
            <w:pPr>
              <w:autoSpaceDE w:val="0"/>
              <w:autoSpaceDN w:val="0"/>
              <w:adjustRightInd w:val="0"/>
              <w:rPr>
                <w:color w:val="0000FF"/>
                <w:sz w:val="24"/>
                <w:szCs w:val="24"/>
              </w:rPr>
            </w:pPr>
            <w:r>
              <w:rPr>
                <w:rFonts w:hint="eastAsia"/>
                <w:color w:val="0000FF"/>
                <w:sz w:val="24"/>
                <w:szCs w:val="24"/>
              </w:rPr>
              <w:t>3、供货期：15天，自合同签订之日计起；</w:t>
            </w:r>
          </w:p>
          <w:p>
            <w:pPr>
              <w:autoSpaceDE w:val="0"/>
              <w:autoSpaceDN w:val="0"/>
              <w:adjustRightInd w:val="0"/>
              <w:rPr>
                <w:color w:val="0000FF"/>
                <w:sz w:val="24"/>
                <w:szCs w:val="24"/>
              </w:rPr>
            </w:pPr>
            <w:r>
              <w:rPr>
                <w:rFonts w:hint="eastAsia"/>
                <w:color w:val="0000FF"/>
                <w:sz w:val="24"/>
                <w:szCs w:val="24"/>
              </w:rPr>
              <w:t>4、质量保证：符合在线教育相关标准；</w:t>
            </w:r>
          </w:p>
          <w:p>
            <w:pPr>
              <w:autoSpaceDE w:val="0"/>
              <w:autoSpaceDN w:val="0"/>
              <w:adjustRightInd w:val="0"/>
              <w:rPr>
                <w:color w:val="0000FF"/>
                <w:sz w:val="24"/>
                <w:szCs w:val="24"/>
              </w:rPr>
            </w:pPr>
            <w:r>
              <w:rPr>
                <w:rFonts w:hint="eastAsia"/>
                <w:color w:val="0000FF"/>
                <w:sz w:val="24"/>
                <w:szCs w:val="24"/>
              </w:rPr>
              <w:t>5、付款方式：学生完成全部学习考试后，经校方验收合格，支付合同总金额。</w:t>
            </w:r>
          </w:p>
          <w:p>
            <w:pPr>
              <w:autoSpaceDE w:val="0"/>
              <w:autoSpaceDN w:val="0"/>
              <w:adjustRightInd w:val="0"/>
              <w:rPr>
                <w:sz w:val="24"/>
                <w:szCs w:val="24"/>
              </w:rPr>
            </w:pPr>
            <w:r>
              <w:rPr>
                <w:rFonts w:hint="eastAsia"/>
                <w:sz w:val="24"/>
                <w:szCs w:val="24"/>
              </w:rPr>
              <w:t>6、本项目技术联系人：肖老师，电话；地址：无锡市高浪西路1600号无锡职业技术学院保卫处；</w:t>
            </w:r>
            <w:r>
              <w:rPr>
                <w:rFonts w:hint="eastAsia"/>
                <w:sz w:val="24"/>
                <w:szCs w:val="24"/>
              </w:rPr>
              <w:br w:type="textWrapping"/>
            </w:r>
            <w:r>
              <w:rPr>
                <w:rFonts w:hint="eastAsia"/>
                <w:sz w:val="24"/>
                <w:szCs w:val="24"/>
              </w:rPr>
              <w:t>7、本项目最高限价为</w:t>
            </w:r>
            <w:r>
              <w:rPr>
                <w:rFonts w:hint="eastAsia"/>
                <w:b/>
                <w:bCs/>
                <w:sz w:val="24"/>
                <w:szCs w:val="24"/>
              </w:rPr>
              <w:t>3.5万</w:t>
            </w:r>
            <w:r>
              <w:rPr>
                <w:rFonts w:hint="eastAsia"/>
                <w:sz w:val="24"/>
                <w:szCs w:val="24"/>
              </w:rPr>
              <w:t>元，超过最高限价视报价无效报价；</w:t>
            </w:r>
          </w:p>
          <w:p>
            <w:pPr>
              <w:autoSpaceDE w:val="0"/>
              <w:autoSpaceDN w:val="0"/>
              <w:adjustRightInd w:val="0"/>
              <w:rPr>
                <w:sz w:val="24"/>
                <w:szCs w:val="24"/>
              </w:rPr>
            </w:pPr>
            <w:r>
              <w:rPr>
                <w:rFonts w:hint="eastAsia"/>
                <w:sz w:val="24"/>
                <w:szCs w:val="24"/>
              </w:rPr>
              <w:t>8、报价文件请授权代表签字并加盖单位公章后于2020年7月6日9时前寄送至无锡职业技术学院保卫处（疫情防控期间报价文件采用邮寄方式，报价人应充分考虑邮件在途时间，保证报价文件能够在截止时间之前送达学校。寄出报价文件时务必联系保卫处肖老师  告知邮件单号）。</w:t>
            </w:r>
          </w:p>
          <w:p>
            <w:pPr>
              <w:autoSpaceDE w:val="0"/>
              <w:autoSpaceDN w:val="0"/>
              <w:adjustRightInd w:val="0"/>
              <w:rPr>
                <w:sz w:val="24"/>
                <w:szCs w:val="24"/>
              </w:rPr>
            </w:pPr>
            <w:r>
              <w:rPr>
                <w:rFonts w:hint="eastAsia"/>
                <w:sz w:val="24"/>
                <w:szCs w:val="24"/>
              </w:rPr>
              <w:t>9、报价文件中除报价资料外还应包含以下资料：（1）营业执照复印件（加盖公章），（2）法定代表人身份证复印件，（3）授权代表还需提供法人授权委托书原件，（4）授权代表身份证复印件，（5）互联网+安全教育服务的相关证件。</w:t>
            </w:r>
          </w:p>
          <w:p>
            <w:pPr>
              <w:autoSpaceDE w:val="0"/>
              <w:autoSpaceDN w:val="0"/>
              <w:adjustRightInd w:val="0"/>
              <w:rPr>
                <w:sz w:val="24"/>
                <w:szCs w:val="24"/>
              </w:rPr>
            </w:pPr>
            <w:r>
              <w:rPr>
                <w:rFonts w:hint="eastAsia"/>
                <w:sz w:val="24"/>
                <w:szCs w:val="24"/>
              </w:rPr>
              <w:t>三、确定成交单位</w:t>
            </w:r>
          </w:p>
          <w:p>
            <w:pPr>
              <w:autoSpaceDE w:val="0"/>
              <w:autoSpaceDN w:val="0"/>
              <w:adjustRightInd w:val="0"/>
              <w:rPr>
                <w:sz w:val="24"/>
                <w:szCs w:val="24"/>
              </w:rPr>
            </w:pPr>
            <w:r>
              <w:rPr>
                <w:rFonts w:hint="eastAsia"/>
                <w:sz w:val="24"/>
                <w:szCs w:val="24"/>
              </w:rPr>
              <w:t>疫情防控期间本项目采用非现场方式实施，成交结果通过学校主页“招标采购”栏公布。学校组织3人及以上单数询价小组，对报价文件进行资格性及符合性检查，通过资格性及符合性检查的单位报价文件，由询价小组根据符合采购需求、质量和服务相等且报价最低的原则确定成交供应商。</w:t>
            </w:r>
          </w:p>
        </w:tc>
        <w:tc>
          <w:tcPr>
            <w:tcW w:w="6804" w:type="dxa"/>
            <w:gridSpan w:val="6"/>
            <w:tcBorders>
              <w:top w:val="single" w:color="auto" w:sz="6" w:space="0"/>
              <w:left w:val="dotDotDash" w:color="auto" w:sz="18" w:space="0"/>
              <w:bottom w:val="single" w:color="auto" w:sz="6" w:space="0"/>
            </w:tcBorders>
          </w:tcPr>
          <w:p>
            <w:pPr>
              <w:jc w:val="left"/>
              <w:rPr>
                <w:color w:val="000000"/>
                <w:sz w:val="24"/>
              </w:rPr>
            </w:pPr>
            <w:r>
              <w:rPr>
                <w:rFonts w:hint="eastAsia"/>
                <w:color w:val="000000"/>
                <w:sz w:val="24"/>
              </w:rPr>
              <w:t>供应商对资格要求及报价要求的响应情况（可另附页）</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007" w:type="dxa"/>
            <w:tcBorders>
              <w:bottom w:val="double" w:color="auto" w:sz="4" w:space="0"/>
            </w:tcBorders>
            <w:vAlign w:val="center"/>
          </w:tcPr>
          <w:p>
            <w:pPr>
              <w:jc w:val="center"/>
              <w:rPr>
                <w:b/>
                <w:color w:val="000000"/>
                <w:sz w:val="24"/>
              </w:rPr>
            </w:pPr>
            <w:r>
              <w:rPr>
                <w:rFonts w:hint="eastAsia"/>
                <w:b/>
                <w:color w:val="000000"/>
                <w:sz w:val="24"/>
              </w:rPr>
              <w:t>评审时间及地点</w:t>
            </w:r>
          </w:p>
        </w:tc>
        <w:tc>
          <w:tcPr>
            <w:tcW w:w="5916" w:type="dxa"/>
            <w:gridSpan w:val="4"/>
            <w:tcBorders>
              <w:bottom w:val="double" w:color="auto" w:sz="4" w:space="0"/>
              <w:right w:val="dotDotDash" w:color="auto" w:sz="18" w:space="0"/>
            </w:tcBorders>
            <w:vAlign w:val="center"/>
          </w:tcPr>
          <w:p>
            <w:pPr>
              <w:jc w:val="left"/>
              <w:rPr>
                <w:color w:val="0000FF"/>
                <w:sz w:val="24"/>
                <w:u w:val="single"/>
              </w:rPr>
            </w:pPr>
            <w:r>
              <w:rPr>
                <w:rFonts w:hint="eastAsia"/>
                <w:color w:val="0000FF"/>
                <w:sz w:val="24"/>
                <w:u w:val="single"/>
              </w:rPr>
              <w:t>评审时间：20</w:t>
            </w:r>
            <w:r>
              <w:rPr>
                <w:color w:val="0000FF"/>
                <w:sz w:val="24"/>
                <w:u w:val="single"/>
              </w:rPr>
              <w:t>20</w:t>
            </w:r>
            <w:r>
              <w:rPr>
                <w:rFonts w:hint="eastAsia"/>
                <w:color w:val="0000FF"/>
                <w:sz w:val="24"/>
                <w:u w:val="single"/>
              </w:rPr>
              <w:t>年7月</w:t>
            </w:r>
            <w:r>
              <w:rPr>
                <w:rFonts w:hint="eastAsia"/>
                <w:color w:val="0000FF"/>
                <w:sz w:val="24"/>
                <w:u w:val="single"/>
                <w:lang w:val="en-US" w:eastAsia="zh-CN"/>
              </w:rPr>
              <w:t>9</w:t>
            </w:r>
            <w:r>
              <w:rPr>
                <w:rFonts w:hint="eastAsia"/>
                <w:color w:val="0000FF"/>
                <w:sz w:val="24"/>
                <w:u w:val="single"/>
              </w:rPr>
              <w:t>日9:00</w:t>
            </w:r>
          </w:p>
          <w:p>
            <w:pPr>
              <w:jc w:val="left"/>
              <w:rPr>
                <w:rFonts w:hint="default" w:eastAsia="宋体"/>
                <w:color w:val="000000"/>
                <w:sz w:val="24"/>
                <w:lang w:val="en-US" w:eastAsia="zh-CN"/>
              </w:rPr>
            </w:pPr>
            <w:r>
              <w:rPr>
                <w:color w:val="0000FF"/>
                <w:sz w:val="24"/>
                <w:u w:val="single"/>
              </w:rPr>
              <w:t>评审地点</w:t>
            </w:r>
            <w:r>
              <w:rPr>
                <w:rFonts w:hint="eastAsia"/>
                <w:color w:val="0000FF"/>
                <w:sz w:val="24"/>
                <w:u w:val="single"/>
              </w:rPr>
              <w:t>：无锡市高浪西路1600号无锡职业技术学院保卫处</w:t>
            </w:r>
            <w:r>
              <w:rPr>
                <w:rFonts w:hint="eastAsia"/>
                <w:color w:val="0000FF"/>
                <w:sz w:val="24"/>
                <w:u w:val="single"/>
                <w:lang w:val="en-US" w:eastAsia="zh-CN"/>
              </w:rPr>
              <w:t>(明德楼A-</w:t>
            </w:r>
            <w:r>
              <w:rPr>
                <w:rFonts w:hint="eastAsia"/>
                <w:color w:val="0000FF"/>
                <w:sz w:val="24"/>
                <w:u w:val="single"/>
              </w:rPr>
              <w:t>10</w:t>
            </w:r>
            <w:r>
              <w:rPr>
                <w:rFonts w:hint="eastAsia"/>
                <w:color w:val="0000FF"/>
                <w:sz w:val="24"/>
                <w:u w:val="single"/>
                <w:lang w:val="en-US" w:eastAsia="zh-CN"/>
              </w:rPr>
              <w:t>7)</w:t>
            </w:r>
          </w:p>
        </w:tc>
        <w:tc>
          <w:tcPr>
            <w:tcW w:w="3119" w:type="dxa"/>
            <w:gridSpan w:val="2"/>
            <w:tcBorders>
              <w:top w:val="single" w:color="auto" w:sz="6" w:space="0"/>
              <w:left w:val="dotDotDash" w:color="auto" w:sz="18" w:space="0"/>
              <w:bottom w:val="double" w:color="auto" w:sz="4" w:space="0"/>
            </w:tcBorders>
          </w:tcPr>
          <w:p>
            <w:pPr>
              <w:jc w:val="left"/>
              <w:rPr>
                <w:color w:val="000000"/>
                <w:sz w:val="24"/>
              </w:rPr>
            </w:pPr>
            <w:r>
              <w:rPr>
                <w:rFonts w:hint="eastAsia"/>
                <w:color w:val="000000"/>
                <w:sz w:val="24"/>
              </w:rPr>
              <w:t>总报价</w:t>
            </w:r>
          </w:p>
        </w:tc>
        <w:tc>
          <w:tcPr>
            <w:tcW w:w="3685" w:type="dxa"/>
            <w:gridSpan w:val="4"/>
            <w:tcBorders>
              <w:top w:val="single" w:color="auto" w:sz="6" w:space="0"/>
              <w:bottom w:val="double" w:color="auto" w:sz="4" w:space="0"/>
            </w:tcBorders>
          </w:tcPr>
          <w:p>
            <w:pPr>
              <w:jc w:val="left"/>
              <w:rPr>
                <w:color w:val="000000"/>
                <w:sz w:val="24"/>
              </w:rPr>
            </w:pPr>
            <w:r>
              <w:rPr>
                <w:rFonts w:hint="eastAsia"/>
                <w:color w:val="000000"/>
                <w:sz w:val="24"/>
              </w:rPr>
              <w:t>　小写：</w:t>
            </w:r>
          </w:p>
          <w:p>
            <w:pPr>
              <w:ind w:firstLine="240" w:firstLineChars="100"/>
              <w:jc w:val="left"/>
              <w:rPr>
                <w:color w:val="000000"/>
                <w:sz w:val="24"/>
              </w:rPr>
            </w:pPr>
          </w:p>
          <w:p>
            <w:pPr>
              <w:ind w:firstLine="240" w:firstLineChars="100"/>
              <w:jc w:val="left"/>
              <w:rPr>
                <w:color w:val="000000"/>
                <w:sz w:val="24"/>
              </w:rPr>
            </w:pPr>
            <w:r>
              <w:rPr>
                <w:rFonts w:hint="eastAsia"/>
                <w:color w:val="000000"/>
                <w:sz w:val="24"/>
              </w:rPr>
              <w:t>大写：　</w:t>
            </w:r>
          </w:p>
          <w:p>
            <w:pPr>
              <w:jc w:val="left"/>
              <w:rPr>
                <w:color w:val="000000"/>
                <w:sz w:val="24"/>
              </w:rPr>
            </w:pPr>
            <w:r>
              <w:rPr>
                <w:rFonts w:hint="eastAsia"/>
                <w:color w:val="000000"/>
                <w:sz w:val="24"/>
              </w:rPr>
              <w:t>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7923" w:type="dxa"/>
            <w:gridSpan w:val="5"/>
            <w:tcBorders>
              <w:top w:val="double" w:color="auto" w:sz="4" w:space="0"/>
              <w:left w:val="nil"/>
              <w:bottom w:val="nil"/>
              <w:right w:val="dotDotDash" w:color="auto" w:sz="18" w:space="0"/>
            </w:tcBorders>
          </w:tcPr>
          <w:p>
            <w:pPr>
              <w:ind w:firstLine="3840" w:firstLineChars="1600"/>
              <w:jc w:val="left"/>
              <w:rPr>
                <w:color w:val="000000"/>
                <w:sz w:val="24"/>
              </w:rPr>
            </w:pPr>
            <w:r>
              <w:rPr>
                <w:rFonts w:hint="eastAsia"/>
                <w:color w:val="000000"/>
                <w:sz w:val="24"/>
              </w:rPr>
              <w:t>虚线左方为采购人填写</w:t>
            </w:r>
          </w:p>
        </w:tc>
        <w:tc>
          <w:tcPr>
            <w:tcW w:w="6804" w:type="dxa"/>
            <w:gridSpan w:val="6"/>
            <w:tcBorders>
              <w:top w:val="double" w:color="auto" w:sz="4" w:space="0"/>
              <w:left w:val="dotDotDash" w:color="auto" w:sz="18" w:space="0"/>
              <w:bottom w:val="nil"/>
              <w:right w:val="nil"/>
            </w:tcBorders>
          </w:tcPr>
          <w:p>
            <w:pPr>
              <w:ind w:firstLine="960" w:firstLineChars="400"/>
              <w:jc w:val="left"/>
              <w:rPr>
                <w:color w:val="000000"/>
                <w:sz w:val="24"/>
              </w:rPr>
            </w:pPr>
            <w:r>
              <w:rPr>
                <w:rFonts w:hint="eastAsia"/>
                <w:color w:val="000000"/>
                <w:sz w:val="24"/>
              </w:rPr>
              <w:t>虚线右方为供货商填写</w:t>
            </w:r>
          </w:p>
        </w:tc>
      </w:tr>
    </w:tbl>
    <w:p>
      <w:pPr>
        <w:tabs>
          <w:tab w:val="left" w:pos="3664"/>
        </w:tabs>
        <w:jc w:val="left"/>
      </w:pPr>
    </w:p>
    <w:sectPr>
      <w:pgSz w:w="16838" w:h="11906" w:orient="landscape"/>
      <w:pgMar w:top="1134" w:right="1440"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618AEA"/>
    <w:multiLevelType w:val="singleLevel"/>
    <w:tmpl w:val="DA618AEA"/>
    <w:lvl w:ilvl="0" w:tentative="0">
      <w:start w:val="1"/>
      <w:numFmt w:val="decimal"/>
      <w:lvlText w:val="%1."/>
      <w:lvlJc w:val="left"/>
      <w:pPr>
        <w:tabs>
          <w:tab w:val="left" w:pos="312"/>
        </w:tabs>
      </w:pPr>
    </w:lvl>
  </w:abstractNum>
  <w:abstractNum w:abstractNumId="1">
    <w:nsid w:val="79A92457"/>
    <w:multiLevelType w:val="multilevel"/>
    <w:tmpl w:val="79A92457"/>
    <w:lvl w:ilvl="0" w:tentative="0">
      <w:start w:val="1"/>
      <w:numFmt w:val="japaneseCounting"/>
      <w:lvlText w:val="%1、"/>
      <w:lvlJc w:val="left"/>
      <w:pPr>
        <w:ind w:left="476" w:hanging="476"/>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120D"/>
    <w:rsid w:val="000117B5"/>
    <w:rsid w:val="00022E09"/>
    <w:rsid w:val="00087ED8"/>
    <w:rsid w:val="0013120D"/>
    <w:rsid w:val="0016166F"/>
    <w:rsid w:val="0017519B"/>
    <w:rsid w:val="001A3D9C"/>
    <w:rsid w:val="001C3B00"/>
    <w:rsid w:val="002174CB"/>
    <w:rsid w:val="00283170"/>
    <w:rsid w:val="0029538B"/>
    <w:rsid w:val="002E2B16"/>
    <w:rsid w:val="00345026"/>
    <w:rsid w:val="00366D9C"/>
    <w:rsid w:val="003D5465"/>
    <w:rsid w:val="003D581B"/>
    <w:rsid w:val="003E58DD"/>
    <w:rsid w:val="00415C06"/>
    <w:rsid w:val="004350A2"/>
    <w:rsid w:val="004436D8"/>
    <w:rsid w:val="00463198"/>
    <w:rsid w:val="004D194A"/>
    <w:rsid w:val="005201B2"/>
    <w:rsid w:val="00542B01"/>
    <w:rsid w:val="00570C4D"/>
    <w:rsid w:val="0057210F"/>
    <w:rsid w:val="00581DFB"/>
    <w:rsid w:val="005971D8"/>
    <w:rsid w:val="005A517B"/>
    <w:rsid w:val="00625FF5"/>
    <w:rsid w:val="0067542D"/>
    <w:rsid w:val="006B70CF"/>
    <w:rsid w:val="00705D19"/>
    <w:rsid w:val="00712F2B"/>
    <w:rsid w:val="0075797D"/>
    <w:rsid w:val="00782C0E"/>
    <w:rsid w:val="00791590"/>
    <w:rsid w:val="007E346A"/>
    <w:rsid w:val="007F415C"/>
    <w:rsid w:val="008013D4"/>
    <w:rsid w:val="00821713"/>
    <w:rsid w:val="00834706"/>
    <w:rsid w:val="00862D60"/>
    <w:rsid w:val="008A3AEC"/>
    <w:rsid w:val="008C4772"/>
    <w:rsid w:val="009329BD"/>
    <w:rsid w:val="00937023"/>
    <w:rsid w:val="009C6A2D"/>
    <w:rsid w:val="009F096D"/>
    <w:rsid w:val="00A40B4C"/>
    <w:rsid w:val="00A62995"/>
    <w:rsid w:val="00A85BB5"/>
    <w:rsid w:val="00AA1CD9"/>
    <w:rsid w:val="00AA7C52"/>
    <w:rsid w:val="00AC54FD"/>
    <w:rsid w:val="00B37042"/>
    <w:rsid w:val="00BA0781"/>
    <w:rsid w:val="00BB2CC4"/>
    <w:rsid w:val="00BB4333"/>
    <w:rsid w:val="00C0403C"/>
    <w:rsid w:val="00C16468"/>
    <w:rsid w:val="00C266B0"/>
    <w:rsid w:val="00CA4131"/>
    <w:rsid w:val="00CB17C4"/>
    <w:rsid w:val="00D556B6"/>
    <w:rsid w:val="00D82D70"/>
    <w:rsid w:val="00D97F61"/>
    <w:rsid w:val="00E02069"/>
    <w:rsid w:val="00E75783"/>
    <w:rsid w:val="00EB0566"/>
    <w:rsid w:val="00ED4790"/>
    <w:rsid w:val="00EE0A62"/>
    <w:rsid w:val="00F10834"/>
    <w:rsid w:val="00F30092"/>
    <w:rsid w:val="00F41D0C"/>
    <w:rsid w:val="00F663EF"/>
    <w:rsid w:val="00FC2392"/>
    <w:rsid w:val="00FC6410"/>
    <w:rsid w:val="00FD0163"/>
    <w:rsid w:val="00FE75EF"/>
    <w:rsid w:val="04721101"/>
    <w:rsid w:val="04FF4315"/>
    <w:rsid w:val="0D1234CC"/>
    <w:rsid w:val="0DA42347"/>
    <w:rsid w:val="101A2F0B"/>
    <w:rsid w:val="11B14F05"/>
    <w:rsid w:val="18505401"/>
    <w:rsid w:val="186026A8"/>
    <w:rsid w:val="1CB25D62"/>
    <w:rsid w:val="1CD734C5"/>
    <w:rsid w:val="1D2A7EF3"/>
    <w:rsid w:val="1DE15EA2"/>
    <w:rsid w:val="1ECA7316"/>
    <w:rsid w:val="201104DA"/>
    <w:rsid w:val="2236665D"/>
    <w:rsid w:val="22E658EA"/>
    <w:rsid w:val="287B008D"/>
    <w:rsid w:val="2E65560C"/>
    <w:rsid w:val="304E0B93"/>
    <w:rsid w:val="34E82D43"/>
    <w:rsid w:val="37C94452"/>
    <w:rsid w:val="39A24F97"/>
    <w:rsid w:val="3A8F1A5F"/>
    <w:rsid w:val="3B395C09"/>
    <w:rsid w:val="3DD36B51"/>
    <w:rsid w:val="3FAE7E03"/>
    <w:rsid w:val="406516B3"/>
    <w:rsid w:val="41742455"/>
    <w:rsid w:val="4268588E"/>
    <w:rsid w:val="42A75502"/>
    <w:rsid w:val="42EA6249"/>
    <w:rsid w:val="45830D0E"/>
    <w:rsid w:val="470F5D35"/>
    <w:rsid w:val="4AD6090A"/>
    <w:rsid w:val="518812DB"/>
    <w:rsid w:val="52AE0B97"/>
    <w:rsid w:val="54E737B3"/>
    <w:rsid w:val="56B72407"/>
    <w:rsid w:val="57D82E00"/>
    <w:rsid w:val="581E7394"/>
    <w:rsid w:val="59845403"/>
    <w:rsid w:val="59D067FD"/>
    <w:rsid w:val="5B60545F"/>
    <w:rsid w:val="5D7C30DE"/>
    <w:rsid w:val="5EDD1ADD"/>
    <w:rsid w:val="5F135A16"/>
    <w:rsid w:val="612C626E"/>
    <w:rsid w:val="67BD603B"/>
    <w:rsid w:val="6F243A6E"/>
    <w:rsid w:val="718C2049"/>
    <w:rsid w:val="742A0185"/>
    <w:rsid w:val="74FF387E"/>
    <w:rsid w:val="77434EF4"/>
    <w:rsid w:val="795A5A4A"/>
    <w:rsid w:val="7BB6398D"/>
    <w:rsid w:val="7EB2444F"/>
    <w:rsid w:val="7ECF5E46"/>
    <w:rsid w:val="7FB94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6" w:lineRule="auto"/>
      <w:outlineLvl w:val="1"/>
    </w:pPr>
    <w:rPr>
      <w:rFonts w:ascii="Cambria" w:hAnsi="Cambria"/>
      <w:b/>
      <w:kern w:val="0"/>
      <w:sz w:val="32"/>
      <w:szCs w:val="20"/>
    </w:rPr>
  </w:style>
  <w:style w:type="paragraph" w:styleId="3">
    <w:name w:val="heading 4"/>
    <w:basedOn w:val="1"/>
    <w:next w:val="1"/>
    <w:qFormat/>
    <w:uiPriority w:val="0"/>
    <w:pPr>
      <w:keepNext/>
      <w:jc w:val="center"/>
      <w:outlineLvl w:val="3"/>
    </w:pPr>
    <w:rPr>
      <w:rFonts w:eastAsia="楷体_GB2312"/>
      <w:b/>
      <w:bCs/>
      <w:sz w:val="13"/>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adjustRightInd w:val="0"/>
      <w:spacing w:before="100" w:beforeAutospacing="1" w:after="100" w:afterAutospacing="1" w:line="288" w:lineRule="auto"/>
      <w:ind w:firstLine="420"/>
      <w:jc w:val="left"/>
      <w:textAlignment w:val="baseline"/>
    </w:pPr>
    <w:rPr>
      <w:rFonts w:ascii="宋体" w:hAnsi="宋体"/>
      <w:kern w:val="0"/>
      <w:sz w:val="24"/>
      <w:szCs w:val="24"/>
    </w:rPr>
  </w:style>
  <w:style w:type="character" w:styleId="9">
    <w:name w:val="Hyperlink"/>
    <w:basedOn w:val="8"/>
    <w:semiHidden/>
    <w:unhideWhenUsed/>
    <w:qFormat/>
    <w:uiPriority w:val="99"/>
    <w:rPr>
      <w:color w:val="0000FF"/>
      <w:u w:val="single"/>
    </w:rPr>
  </w:style>
  <w:style w:type="character" w:customStyle="1" w:styleId="10">
    <w:name w:val="页眉 字符"/>
    <w:basedOn w:val="8"/>
    <w:link w:val="5"/>
    <w:qFormat/>
    <w:uiPriority w:val="99"/>
    <w:rPr>
      <w:rFonts w:ascii="Times New Roman" w:hAnsi="Times New Roman"/>
      <w:kern w:val="2"/>
      <w:sz w:val="18"/>
      <w:szCs w:val="18"/>
    </w:rPr>
  </w:style>
  <w:style w:type="character" w:customStyle="1" w:styleId="11">
    <w:name w:val="页脚 字符"/>
    <w:basedOn w:val="8"/>
    <w:link w:val="4"/>
    <w:qFormat/>
    <w:uiPriority w:val="99"/>
    <w:rPr>
      <w:rFonts w:ascii="Times New Roman" w:hAnsi="Times New Roman"/>
      <w:kern w:val="2"/>
      <w:sz w:val="18"/>
      <w:szCs w:val="18"/>
    </w:rPr>
  </w:style>
  <w:style w:type="paragraph" w:styleId="1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294</Words>
  <Characters>1679</Characters>
  <Lines>13</Lines>
  <Paragraphs>3</Paragraphs>
  <TotalTime>35</TotalTime>
  <ScaleCrop>false</ScaleCrop>
  <LinksUpToDate>false</LinksUpToDate>
  <CharactersWithSpaces>1970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2020-03-16T02:25:00Z</dcterms:created>
  <dc:creator>huang</dc:creator>
  <cp:lastModifiedBy>wxzy</cp:lastModifiedBy>
  <cp:lastPrinted>2019-04-18T06:15:00Z</cp:lastPrinted>
  <dcterms:modified xsi:type="dcterms:W3CDTF">2020-07-06T02:32:27Z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